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270"/>
        <w:gridCol w:w="1109"/>
        <w:gridCol w:w="1113"/>
        <w:gridCol w:w="1111"/>
        <w:gridCol w:w="1110"/>
        <w:gridCol w:w="1110"/>
        <w:gridCol w:w="164"/>
        <w:gridCol w:w="947"/>
        <w:gridCol w:w="1842"/>
        <w:gridCol w:w="709"/>
      </w:tblGrid>
      <w:tr w:rsidR="00166980" w14:paraId="1C2E822E" w14:textId="77777777" w:rsidTr="00166980">
        <w:trPr>
          <w:trHeight w:val="416"/>
        </w:trPr>
        <w:tc>
          <w:tcPr>
            <w:tcW w:w="10485" w:type="dxa"/>
            <w:gridSpan w:val="10"/>
            <w:vAlign w:val="center"/>
          </w:tcPr>
          <w:p w14:paraId="33B0AECB" w14:textId="1A47DFA7" w:rsidR="00166980" w:rsidRPr="00874BE3" w:rsidRDefault="00166980" w:rsidP="00166980">
            <w:pPr>
              <w:rPr>
                <w:bCs/>
              </w:rPr>
            </w:pPr>
            <w:r w:rsidRPr="00166980">
              <w:rPr>
                <w:b/>
              </w:rPr>
              <w:t>Unit Overview:</w:t>
            </w:r>
            <w:r w:rsidR="002F7763">
              <w:rPr>
                <w:b/>
              </w:rPr>
              <w:t xml:space="preserve"> </w:t>
            </w:r>
            <w:r w:rsidR="00DC0D7A">
              <w:rPr>
                <w:bCs/>
              </w:rPr>
              <w:t xml:space="preserve">Module </w:t>
            </w:r>
            <w:r w:rsidR="00F93D78">
              <w:rPr>
                <w:bCs/>
              </w:rPr>
              <w:t>5 – Periodic Table and Energy</w:t>
            </w:r>
          </w:p>
        </w:tc>
      </w:tr>
      <w:tr w:rsidR="00166980" w14:paraId="2CFBA4A4" w14:textId="77777777" w:rsidTr="00A46B26">
        <w:trPr>
          <w:trHeight w:val="419"/>
        </w:trPr>
        <w:tc>
          <w:tcPr>
            <w:tcW w:w="1270" w:type="dxa"/>
            <w:vAlign w:val="center"/>
          </w:tcPr>
          <w:p w14:paraId="3F44EFC9" w14:textId="77777777" w:rsidR="00166980" w:rsidRPr="00166980" w:rsidRDefault="00166980" w:rsidP="00166980">
            <w:pPr>
              <w:rPr>
                <w:b/>
              </w:rPr>
            </w:pPr>
            <w:r w:rsidRPr="00166980">
              <w:rPr>
                <w:b/>
              </w:rPr>
              <w:t>Half- Term:</w:t>
            </w:r>
          </w:p>
        </w:tc>
        <w:tc>
          <w:tcPr>
            <w:tcW w:w="1109" w:type="dxa"/>
            <w:vAlign w:val="center"/>
          </w:tcPr>
          <w:p w14:paraId="52AFBA06" w14:textId="77777777" w:rsidR="00166980" w:rsidRPr="00166980" w:rsidRDefault="00166980" w:rsidP="00166980">
            <w:pPr>
              <w:jc w:val="center"/>
            </w:pPr>
            <w:r w:rsidRPr="00DC0D7A">
              <w:rPr>
                <w:highlight w:val="yellow"/>
              </w:rPr>
              <w:t>AUT 1</w:t>
            </w:r>
          </w:p>
        </w:tc>
        <w:tc>
          <w:tcPr>
            <w:tcW w:w="1113" w:type="dxa"/>
            <w:vAlign w:val="center"/>
          </w:tcPr>
          <w:p w14:paraId="3A806760" w14:textId="77777777" w:rsidR="00166980" w:rsidRPr="00166980" w:rsidRDefault="00166980" w:rsidP="00166980">
            <w:pPr>
              <w:jc w:val="center"/>
            </w:pPr>
            <w:r w:rsidRPr="006B57E6">
              <w:t>AUT 2</w:t>
            </w:r>
          </w:p>
        </w:tc>
        <w:tc>
          <w:tcPr>
            <w:tcW w:w="1111" w:type="dxa"/>
            <w:vAlign w:val="center"/>
          </w:tcPr>
          <w:p w14:paraId="6B0A96A1" w14:textId="77777777" w:rsidR="00166980" w:rsidRPr="00166980" w:rsidRDefault="00166980" w:rsidP="00166980">
            <w:pPr>
              <w:jc w:val="center"/>
            </w:pPr>
            <w:r w:rsidRPr="00DC0D7A">
              <w:t>SPR 1</w:t>
            </w:r>
          </w:p>
        </w:tc>
        <w:tc>
          <w:tcPr>
            <w:tcW w:w="1110" w:type="dxa"/>
            <w:vAlign w:val="center"/>
          </w:tcPr>
          <w:p w14:paraId="104186A4" w14:textId="77777777" w:rsidR="00166980" w:rsidRPr="00166980" w:rsidRDefault="00166980" w:rsidP="00166980">
            <w:pPr>
              <w:jc w:val="center"/>
            </w:pPr>
            <w:r w:rsidRPr="00D42262">
              <w:t>SPR 2</w:t>
            </w:r>
          </w:p>
        </w:tc>
        <w:tc>
          <w:tcPr>
            <w:tcW w:w="1110" w:type="dxa"/>
            <w:vAlign w:val="center"/>
          </w:tcPr>
          <w:p w14:paraId="3CD707A3" w14:textId="77777777" w:rsidR="00166980" w:rsidRPr="00166980" w:rsidRDefault="00166980" w:rsidP="00166980">
            <w:pPr>
              <w:jc w:val="center"/>
            </w:pPr>
            <w:r w:rsidRPr="00166980">
              <w:t>SUM 1</w:t>
            </w:r>
          </w:p>
        </w:tc>
        <w:tc>
          <w:tcPr>
            <w:tcW w:w="1111" w:type="dxa"/>
            <w:gridSpan w:val="2"/>
            <w:vAlign w:val="center"/>
          </w:tcPr>
          <w:p w14:paraId="204CCBB0" w14:textId="77777777" w:rsidR="00166980" w:rsidRPr="00166980" w:rsidRDefault="00166980" w:rsidP="00166980">
            <w:pPr>
              <w:jc w:val="center"/>
            </w:pPr>
            <w:r w:rsidRPr="00166980">
              <w:t>SUM 2</w:t>
            </w:r>
          </w:p>
        </w:tc>
        <w:tc>
          <w:tcPr>
            <w:tcW w:w="1842" w:type="dxa"/>
            <w:vAlign w:val="center"/>
          </w:tcPr>
          <w:p w14:paraId="3D2EDFC0" w14:textId="77777777" w:rsidR="00166980" w:rsidRPr="00166980" w:rsidRDefault="00166980" w:rsidP="00166980">
            <w:pPr>
              <w:rPr>
                <w:b/>
              </w:rPr>
            </w:pPr>
            <w:r w:rsidRPr="00166980">
              <w:rPr>
                <w:b/>
              </w:rPr>
              <w:t>No of Lessons:</w:t>
            </w:r>
          </w:p>
        </w:tc>
        <w:tc>
          <w:tcPr>
            <w:tcW w:w="709" w:type="dxa"/>
            <w:vAlign w:val="center"/>
          </w:tcPr>
          <w:p w14:paraId="4A4AA729" w14:textId="1BF3DE11" w:rsidR="00166980" w:rsidRPr="00166980" w:rsidRDefault="00F93D78" w:rsidP="00166980">
            <w:pPr>
              <w:rPr>
                <w:b/>
              </w:rPr>
            </w:pPr>
            <w:r>
              <w:rPr>
                <w:b/>
              </w:rPr>
              <w:t>72</w:t>
            </w:r>
          </w:p>
        </w:tc>
      </w:tr>
      <w:tr w:rsidR="00166980" w14:paraId="0DDB5018" w14:textId="77777777" w:rsidTr="00166980">
        <w:trPr>
          <w:trHeight w:val="424"/>
        </w:trPr>
        <w:tc>
          <w:tcPr>
            <w:tcW w:w="10485" w:type="dxa"/>
            <w:gridSpan w:val="10"/>
            <w:vAlign w:val="center"/>
          </w:tcPr>
          <w:p w14:paraId="4CE7EBC3" w14:textId="77777777" w:rsidR="00166980" w:rsidRPr="00166980" w:rsidRDefault="00166980" w:rsidP="00166980">
            <w:pPr>
              <w:jc w:val="center"/>
              <w:rPr>
                <w:b/>
                <w:u w:val="single"/>
              </w:rPr>
            </w:pPr>
            <w:r w:rsidRPr="00166980">
              <w:rPr>
                <w:b/>
                <w:u w:val="single"/>
              </w:rPr>
              <w:t>Key Focus for Unit:</w:t>
            </w:r>
          </w:p>
          <w:p w14:paraId="784C7CEA" w14:textId="77777777" w:rsidR="00A46B26" w:rsidRDefault="00166980" w:rsidP="00166980">
            <w:pPr>
              <w:jc w:val="center"/>
              <w:rPr>
                <w:i/>
              </w:rPr>
            </w:pPr>
            <w:r w:rsidRPr="007B5DCF">
              <w:rPr>
                <w:i/>
              </w:rPr>
              <w:t xml:space="preserve">What is the key knowledge being delivered? </w:t>
            </w:r>
          </w:p>
          <w:p w14:paraId="29611E7C" w14:textId="77777777" w:rsidR="00166980" w:rsidRPr="007B5DCF" w:rsidRDefault="00166980" w:rsidP="00166980">
            <w:pPr>
              <w:jc w:val="center"/>
              <w:rPr>
                <w:i/>
              </w:rPr>
            </w:pPr>
            <w:r w:rsidRPr="007B5DCF">
              <w:rPr>
                <w:i/>
              </w:rPr>
              <w:t>What is the intent of this unit?</w:t>
            </w:r>
          </w:p>
        </w:tc>
      </w:tr>
      <w:tr w:rsidR="00166980" w14:paraId="5C8B9480" w14:textId="77777777" w:rsidTr="00166980">
        <w:trPr>
          <w:trHeight w:val="1256"/>
        </w:trPr>
        <w:tc>
          <w:tcPr>
            <w:tcW w:w="10485" w:type="dxa"/>
            <w:gridSpan w:val="10"/>
            <w:vAlign w:val="center"/>
          </w:tcPr>
          <w:p w14:paraId="52699065" w14:textId="77777777" w:rsidR="00874BE3" w:rsidRDefault="00874BE3" w:rsidP="00166980"/>
          <w:p w14:paraId="3126739D" w14:textId="0EA06B67" w:rsidR="00E673F9" w:rsidRDefault="00E673F9" w:rsidP="00E673F9">
            <w:r>
              <w:t>The content within this module assumes knowledge and understanding of the chemical concepts developed in Module 2: Foundat</w:t>
            </w:r>
            <w:r>
              <w:t>i</w:t>
            </w:r>
            <w:r>
              <w:t>ons in chemistry and Module 3: Periodic table and energy. This module extends the study of energy, react</w:t>
            </w:r>
            <w:r>
              <w:t>i</w:t>
            </w:r>
            <w:r>
              <w:t xml:space="preserve">on rates and equilibria, and the periodic table. </w:t>
            </w:r>
          </w:p>
          <w:p w14:paraId="20C5DBB3" w14:textId="77777777" w:rsidR="00E673F9" w:rsidRDefault="00E673F9" w:rsidP="00E673F9"/>
          <w:p w14:paraId="726A20EC" w14:textId="40C6BD67" w:rsidR="00E673F9" w:rsidRDefault="00E673F9" w:rsidP="00E673F9">
            <w:r>
              <w:t xml:space="preserve">The </w:t>
            </w:r>
            <w:r>
              <w:t>areas of study include both physical and inorganic chemistry:</w:t>
            </w:r>
          </w:p>
          <w:p w14:paraId="49A71B5C" w14:textId="2AD177E2" w:rsidR="005420A2" w:rsidRDefault="005420A2" w:rsidP="00166980"/>
          <w:p w14:paraId="3DCC2F0F" w14:textId="7C93D385" w:rsidR="00A46B26" w:rsidRDefault="00E673F9" w:rsidP="00E673F9">
            <w:pPr>
              <w:pStyle w:val="ListParagraph"/>
              <w:numPr>
                <w:ilvl w:val="0"/>
                <w:numId w:val="8"/>
              </w:numPr>
            </w:pPr>
            <w:r>
              <w:t>Rate equations, orders of reaction, the rate-determining step</w:t>
            </w:r>
          </w:p>
          <w:p w14:paraId="4E26857C" w14:textId="46A2ECAB" w:rsidR="00E673F9" w:rsidRDefault="00E673F9" w:rsidP="00E673F9">
            <w:pPr>
              <w:pStyle w:val="ListParagraph"/>
              <w:numPr>
                <w:ilvl w:val="0"/>
                <w:numId w:val="8"/>
              </w:numPr>
            </w:pPr>
            <w:r>
              <w:t>Equilibrium constants, K</w:t>
            </w:r>
            <w:r>
              <w:rPr>
                <w:vertAlign w:val="subscript"/>
              </w:rPr>
              <w:t>c</w:t>
            </w:r>
            <w:r>
              <w:t xml:space="preserve"> and </w:t>
            </w:r>
            <w:proofErr w:type="spellStart"/>
            <w:r>
              <w:t>K</w:t>
            </w:r>
            <w:r>
              <w:rPr>
                <w:vertAlign w:val="subscript"/>
              </w:rPr>
              <w:t>p</w:t>
            </w:r>
            <w:proofErr w:type="spellEnd"/>
          </w:p>
          <w:p w14:paraId="735E3E6D" w14:textId="0C1E4883" w:rsidR="00E673F9" w:rsidRDefault="00E673F9" w:rsidP="00E673F9">
            <w:pPr>
              <w:pStyle w:val="ListParagraph"/>
              <w:numPr>
                <w:ilvl w:val="0"/>
                <w:numId w:val="8"/>
              </w:numPr>
            </w:pPr>
            <w:r>
              <w:t>Acid-base equilibria including pH, K</w:t>
            </w:r>
            <w:r>
              <w:rPr>
                <w:vertAlign w:val="subscript"/>
              </w:rPr>
              <w:t>a</w:t>
            </w:r>
            <w:r>
              <w:t xml:space="preserve"> and buffer solutions</w:t>
            </w:r>
          </w:p>
          <w:p w14:paraId="00D07979" w14:textId="018A63DF" w:rsidR="00E673F9" w:rsidRDefault="00E673F9" w:rsidP="00E673F9">
            <w:pPr>
              <w:pStyle w:val="ListParagraph"/>
              <w:numPr>
                <w:ilvl w:val="0"/>
                <w:numId w:val="8"/>
              </w:numPr>
            </w:pPr>
            <w:r>
              <w:t>Lattice enthalpy and Born-Haber cycles</w:t>
            </w:r>
          </w:p>
          <w:p w14:paraId="352619E9" w14:textId="5D9A5265" w:rsidR="00E673F9" w:rsidRDefault="00E673F9" w:rsidP="00E673F9">
            <w:pPr>
              <w:pStyle w:val="ListParagraph"/>
              <w:numPr>
                <w:ilvl w:val="0"/>
                <w:numId w:val="8"/>
              </w:numPr>
            </w:pPr>
            <w:r>
              <w:t>Entropy and free energy</w:t>
            </w:r>
          </w:p>
          <w:p w14:paraId="0457E5EE" w14:textId="434D9799" w:rsidR="00E673F9" w:rsidRDefault="00E673F9" w:rsidP="00E673F9">
            <w:pPr>
              <w:pStyle w:val="ListParagraph"/>
              <w:numPr>
                <w:ilvl w:val="0"/>
                <w:numId w:val="8"/>
              </w:numPr>
            </w:pPr>
            <w:r>
              <w:t xml:space="preserve">Electrochemical cells </w:t>
            </w:r>
          </w:p>
          <w:p w14:paraId="12BDA981" w14:textId="1C63B671" w:rsidR="00E673F9" w:rsidRDefault="00E673F9" w:rsidP="00E673F9">
            <w:pPr>
              <w:pStyle w:val="ListParagraph"/>
              <w:numPr>
                <w:ilvl w:val="0"/>
                <w:numId w:val="8"/>
              </w:numPr>
            </w:pPr>
            <w:r>
              <w:t>Redox chemistry</w:t>
            </w:r>
          </w:p>
          <w:p w14:paraId="385ACB78" w14:textId="71E2BFC8" w:rsidR="00E673F9" w:rsidRDefault="00E673F9" w:rsidP="00E673F9">
            <w:pPr>
              <w:pStyle w:val="ListParagraph"/>
              <w:numPr>
                <w:ilvl w:val="0"/>
                <w:numId w:val="8"/>
              </w:numPr>
            </w:pPr>
            <w:r>
              <w:t>Transition elements</w:t>
            </w:r>
          </w:p>
          <w:p w14:paraId="22E448C1" w14:textId="0E63596C" w:rsidR="00E673F9" w:rsidRDefault="00E673F9" w:rsidP="00E673F9"/>
          <w:p w14:paraId="146A3AEF" w14:textId="0708659F" w:rsidR="00E673F9" w:rsidRDefault="00E673F9" w:rsidP="00E673F9">
            <w:r>
              <w:t xml:space="preserve">This module has many synoptic links with some of the subject content previously studied in </w:t>
            </w:r>
            <w:r w:rsidR="00E94F4C">
              <w:t>AS (</w:t>
            </w:r>
            <w:r>
              <w:t xml:space="preserve">Year 12 </w:t>
            </w:r>
            <w:r w:rsidR="00E94F4C">
              <w:t xml:space="preserve">- </w:t>
            </w:r>
            <w:r>
              <w:t xml:space="preserve">Module 2 and 3). The knowledge of Module 2 and Module 3 will be assumed and </w:t>
            </w:r>
            <w:r w:rsidR="00E94F4C">
              <w:t xml:space="preserve">examination questions are set that link the content with this module and other areas of chemistry. This is something that is shared with the students and empowers them to continue with revision of topics they learnt in AS in their own independent study time. </w:t>
            </w:r>
          </w:p>
          <w:p w14:paraId="5D361968" w14:textId="77777777" w:rsidR="00A46B26" w:rsidRDefault="00A46B26" w:rsidP="00166980"/>
          <w:p w14:paraId="7F798524" w14:textId="77777777" w:rsidR="00A46B26" w:rsidRDefault="00A46B26" w:rsidP="00166980"/>
          <w:p w14:paraId="73F5B887" w14:textId="77777777" w:rsidR="00A46B26" w:rsidRDefault="00A46B26" w:rsidP="00166980"/>
          <w:p w14:paraId="34B4F606" w14:textId="77777777" w:rsidR="00A46B26" w:rsidRDefault="00A46B26" w:rsidP="00166980"/>
          <w:p w14:paraId="1D4F1C13" w14:textId="77777777" w:rsidR="00A46B26" w:rsidRDefault="00A46B26" w:rsidP="00166980"/>
          <w:p w14:paraId="7EF4BAD9" w14:textId="77777777" w:rsidR="00A46B26" w:rsidRDefault="00A46B26" w:rsidP="00166980"/>
          <w:p w14:paraId="0DB10EA5" w14:textId="77777777" w:rsidR="00A46B26" w:rsidRDefault="00A46B26" w:rsidP="00166980"/>
        </w:tc>
      </w:tr>
      <w:tr w:rsidR="00A46B26" w14:paraId="623D560E" w14:textId="77777777" w:rsidTr="00A46B26">
        <w:trPr>
          <w:trHeight w:val="441"/>
        </w:trPr>
        <w:tc>
          <w:tcPr>
            <w:tcW w:w="10485" w:type="dxa"/>
            <w:gridSpan w:val="10"/>
            <w:vAlign w:val="center"/>
          </w:tcPr>
          <w:p w14:paraId="71CCD40E" w14:textId="77777777" w:rsidR="00A46B26" w:rsidRDefault="00A46B26" w:rsidP="00A46B26">
            <w:pPr>
              <w:jc w:val="center"/>
              <w:rPr>
                <w:b/>
                <w:u w:val="single"/>
              </w:rPr>
            </w:pPr>
            <w:r w:rsidRPr="00A46B26">
              <w:rPr>
                <w:b/>
                <w:u w:val="single"/>
              </w:rPr>
              <w:t>Key Knowledge and Big Ideas:</w:t>
            </w:r>
          </w:p>
          <w:p w14:paraId="59F009F5" w14:textId="77777777" w:rsidR="00A46B26" w:rsidRDefault="00A46B26" w:rsidP="00A46B26">
            <w:pPr>
              <w:jc w:val="center"/>
              <w:rPr>
                <w:i/>
              </w:rPr>
            </w:pPr>
            <w:r>
              <w:rPr>
                <w:i/>
              </w:rPr>
              <w:t xml:space="preserve"> What </w:t>
            </w:r>
            <w:r w:rsidRPr="006D174A">
              <w:rPr>
                <w:b/>
                <w:bCs/>
                <w:i/>
              </w:rPr>
              <w:t>Powerful Knowledge</w:t>
            </w:r>
            <w:r>
              <w:rPr>
                <w:i/>
              </w:rPr>
              <w:t xml:space="preserve"> and </w:t>
            </w:r>
            <w:r w:rsidRPr="006D174A">
              <w:rPr>
                <w:b/>
                <w:bCs/>
                <w:i/>
              </w:rPr>
              <w:t>Big Ideas</w:t>
            </w:r>
            <w:r>
              <w:rPr>
                <w:i/>
              </w:rPr>
              <w:t xml:space="preserve"> are</w:t>
            </w:r>
            <w:r w:rsidRPr="00A46B26">
              <w:rPr>
                <w:i/>
              </w:rPr>
              <w:t xml:space="preserve"> </w:t>
            </w:r>
            <w:r>
              <w:rPr>
                <w:i/>
              </w:rPr>
              <w:t>e</w:t>
            </w:r>
            <w:r w:rsidRPr="00A46B26">
              <w:rPr>
                <w:i/>
              </w:rPr>
              <w:t>xplore</w:t>
            </w:r>
            <w:r>
              <w:rPr>
                <w:i/>
              </w:rPr>
              <w:t>d</w:t>
            </w:r>
            <w:r w:rsidRPr="00A46B26">
              <w:rPr>
                <w:i/>
              </w:rPr>
              <w:t xml:space="preserve"> in this Unit? </w:t>
            </w:r>
          </w:p>
          <w:p w14:paraId="68BAD2FE" w14:textId="7704BC34" w:rsidR="00A46B26" w:rsidRPr="00A46B26" w:rsidRDefault="00A46B26" w:rsidP="00A46B26">
            <w:pPr>
              <w:jc w:val="center"/>
              <w:rPr>
                <w:i/>
              </w:rPr>
            </w:pPr>
            <w:r w:rsidRPr="00A46B26">
              <w:rPr>
                <w:i/>
              </w:rPr>
              <w:t>How have these progressed from previous learning?</w:t>
            </w:r>
            <w:r w:rsidR="00501DFE">
              <w:rPr>
                <w:i/>
              </w:rPr>
              <w:t xml:space="preserve"> What </w:t>
            </w:r>
            <w:r w:rsidR="00501DFE" w:rsidRPr="006D174A">
              <w:rPr>
                <w:b/>
                <w:bCs/>
                <w:i/>
              </w:rPr>
              <w:t>gaps in knowledge</w:t>
            </w:r>
            <w:r w:rsidR="00501DFE">
              <w:rPr>
                <w:i/>
              </w:rPr>
              <w:t xml:space="preserve"> have you identified from </w:t>
            </w:r>
            <w:r w:rsidR="00501DFE" w:rsidRPr="006D174A">
              <w:rPr>
                <w:b/>
                <w:bCs/>
                <w:i/>
              </w:rPr>
              <w:t xml:space="preserve">baselining </w:t>
            </w:r>
            <w:r w:rsidR="00501DFE">
              <w:rPr>
                <w:i/>
              </w:rPr>
              <w:t>and how are the being closed?</w:t>
            </w:r>
          </w:p>
        </w:tc>
      </w:tr>
      <w:tr w:rsidR="00A46B26" w14:paraId="3C33E224" w14:textId="77777777" w:rsidTr="00166980">
        <w:trPr>
          <w:trHeight w:val="1256"/>
        </w:trPr>
        <w:tc>
          <w:tcPr>
            <w:tcW w:w="10485" w:type="dxa"/>
            <w:gridSpan w:val="10"/>
            <w:vAlign w:val="center"/>
          </w:tcPr>
          <w:p w14:paraId="3806D405" w14:textId="77777777" w:rsidR="00A46B26" w:rsidRDefault="00A46B26" w:rsidP="00166980"/>
          <w:p w14:paraId="79009F87" w14:textId="77777777" w:rsidR="00A46B26" w:rsidRDefault="00A46B26" w:rsidP="00166980"/>
          <w:p w14:paraId="6027460C" w14:textId="7E1900E8" w:rsidR="00560BF1" w:rsidRPr="009861CC" w:rsidRDefault="00560BF1" w:rsidP="00560BF1">
            <w:r>
              <w:t xml:space="preserve">The Big Idea that this topic links to is </w:t>
            </w:r>
            <w:r w:rsidR="009861CC">
              <w:rPr>
                <w:i/>
                <w:iCs/>
              </w:rPr>
              <w:t xml:space="preserve">Chemical Reactions </w:t>
            </w:r>
            <w:r w:rsidR="009861CC">
              <w:t>– the importance of understanding</w:t>
            </w:r>
            <w:r w:rsidR="003B4298">
              <w:t xml:space="preserve"> how chemical reactions </w:t>
            </w:r>
            <w:proofErr w:type="gramStart"/>
            <w:r w:rsidR="003B4298">
              <w:t>are</w:t>
            </w:r>
            <w:proofErr w:type="gramEnd"/>
            <w:r w:rsidR="003B4298">
              <w:t xml:space="preserve"> governed by the physical laws of nature is paramount to understanding how this module links to the wider world and can be contextualised. </w:t>
            </w:r>
          </w:p>
          <w:p w14:paraId="5DB714F2" w14:textId="77777777" w:rsidR="00560BF1" w:rsidRDefault="00560BF1" w:rsidP="00560BF1"/>
          <w:p w14:paraId="27F4E479" w14:textId="1CDDFF91" w:rsidR="00A46B26" w:rsidRDefault="00560BF1" w:rsidP="00166980">
            <w:r>
              <w:t>Student baselines are assessed through retrieval practice in starter questions</w:t>
            </w:r>
            <w:r w:rsidR="003B4298">
              <w:t xml:space="preserve">. </w:t>
            </w:r>
          </w:p>
          <w:p w14:paraId="0BA210C8" w14:textId="636A777C" w:rsidR="003B4298" w:rsidRDefault="003B4298" w:rsidP="00166980"/>
          <w:p w14:paraId="0676BE0C" w14:textId="2963E0BB" w:rsidR="003B4298" w:rsidRDefault="003B4298" w:rsidP="00166980">
            <w:r>
              <w:t>Lessons regularly highlight where synoptic links can be found within Module 5 that point to Module 2 ad Module 3.</w:t>
            </w:r>
          </w:p>
          <w:p w14:paraId="77B136A1" w14:textId="6489B061" w:rsidR="003B4298" w:rsidRDefault="003B4298" w:rsidP="00166980"/>
          <w:p w14:paraId="114056AD" w14:textId="6C49F1BA" w:rsidR="003B4298" w:rsidRDefault="003B4298" w:rsidP="00166980"/>
          <w:p w14:paraId="6BCB6654" w14:textId="77777777" w:rsidR="003B4298" w:rsidRDefault="003B4298" w:rsidP="00166980"/>
          <w:p w14:paraId="78EDB51E" w14:textId="77777777" w:rsidR="00A46B26" w:rsidRDefault="00A46B26" w:rsidP="00166980"/>
          <w:p w14:paraId="524A44D2" w14:textId="77777777" w:rsidR="00A46B26" w:rsidRDefault="00A46B26" w:rsidP="00166980"/>
          <w:p w14:paraId="063F0F20" w14:textId="77777777" w:rsidR="00A46B26" w:rsidRDefault="00A46B26" w:rsidP="00166980"/>
        </w:tc>
      </w:tr>
      <w:tr w:rsidR="007B5DCF" w14:paraId="69923A53" w14:textId="77777777" w:rsidTr="007B5DCF">
        <w:tc>
          <w:tcPr>
            <w:tcW w:w="10485" w:type="dxa"/>
            <w:gridSpan w:val="10"/>
            <w:vAlign w:val="center"/>
          </w:tcPr>
          <w:p w14:paraId="2D775CAA" w14:textId="77777777" w:rsidR="007B5DCF" w:rsidRPr="00166980" w:rsidRDefault="007B5DCF" w:rsidP="007B5DCF">
            <w:pPr>
              <w:jc w:val="center"/>
              <w:rPr>
                <w:b/>
                <w:u w:val="single"/>
              </w:rPr>
            </w:pPr>
            <w:r>
              <w:rPr>
                <w:b/>
                <w:u w:val="single"/>
              </w:rPr>
              <w:lastRenderedPageBreak/>
              <w:t>Unit Assessment</w:t>
            </w:r>
            <w:r w:rsidRPr="00166980">
              <w:rPr>
                <w:b/>
                <w:u w:val="single"/>
              </w:rPr>
              <w:t>:</w:t>
            </w:r>
          </w:p>
          <w:p w14:paraId="572ABA93" w14:textId="77777777" w:rsidR="00A46B26" w:rsidRDefault="007B5DCF" w:rsidP="007B5DCF">
            <w:pPr>
              <w:jc w:val="center"/>
              <w:rPr>
                <w:i/>
              </w:rPr>
            </w:pPr>
            <w:r>
              <w:rPr>
                <w:i/>
              </w:rPr>
              <w:t>How will this unit be assessed</w:t>
            </w:r>
            <w:r w:rsidRPr="007B5DCF">
              <w:rPr>
                <w:i/>
              </w:rPr>
              <w:t>?</w:t>
            </w:r>
            <w:r>
              <w:rPr>
                <w:i/>
              </w:rPr>
              <w:t xml:space="preserve"> </w:t>
            </w:r>
          </w:p>
          <w:p w14:paraId="1D448AEC" w14:textId="77777777" w:rsidR="007B5DCF" w:rsidRDefault="007B5DCF" w:rsidP="007B5DCF">
            <w:pPr>
              <w:jc w:val="center"/>
            </w:pPr>
            <w:r>
              <w:rPr>
                <w:i/>
              </w:rPr>
              <w:t>What is the frequency of assessments – baselines etc?</w:t>
            </w:r>
          </w:p>
        </w:tc>
      </w:tr>
      <w:tr w:rsidR="00A46B26" w14:paraId="1071D02F" w14:textId="77777777" w:rsidTr="008F6CD1">
        <w:tc>
          <w:tcPr>
            <w:tcW w:w="10485" w:type="dxa"/>
            <w:gridSpan w:val="10"/>
            <w:vAlign w:val="center"/>
          </w:tcPr>
          <w:p w14:paraId="29D48401" w14:textId="77777777" w:rsidR="00A46B26" w:rsidRDefault="00A46B26" w:rsidP="00166980"/>
          <w:p w14:paraId="58D8EBE2" w14:textId="2E0F53E5" w:rsidR="00A46B26" w:rsidRDefault="005420A2" w:rsidP="00166980">
            <w:r>
              <w:t>Formative assessment:</w:t>
            </w:r>
          </w:p>
          <w:p w14:paraId="1D124824" w14:textId="485CF7CC" w:rsidR="005420A2" w:rsidRDefault="005420A2" w:rsidP="005420A2">
            <w:pPr>
              <w:pStyle w:val="ListParagraph"/>
              <w:numPr>
                <w:ilvl w:val="0"/>
                <w:numId w:val="3"/>
              </w:numPr>
            </w:pPr>
            <w:r>
              <w:t>6 mark extended writing task</w:t>
            </w:r>
            <w:r w:rsidR="00A67FF1">
              <w:t>s</w:t>
            </w:r>
          </w:p>
          <w:p w14:paraId="5548BABB" w14:textId="36606CE9" w:rsidR="005420A2" w:rsidRDefault="005420A2" w:rsidP="005420A2">
            <w:pPr>
              <w:pStyle w:val="ListParagraph"/>
              <w:numPr>
                <w:ilvl w:val="0"/>
                <w:numId w:val="3"/>
              </w:numPr>
            </w:pPr>
            <w:r>
              <w:t xml:space="preserve">Assesses powerful knowledge and literacy </w:t>
            </w:r>
          </w:p>
          <w:p w14:paraId="2C3EF698" w14:textId="0FECF970" w:rsidR="005420A2" w:rsidRDefault="005420A2" w:rsidP="005420A2">
            <w:pPr>
              <w:pStyle w:val="ListParagraph"/>
              <w:numPr>
                <w:ilvl w:val="0"/>
                <w:numId w:val="3"/>
              </w:numPr>
            </w:pPr>
            <w:r>
              <w:t xml:space="preserve">Feedback and response time built into lesson </w:t>
            </w:r>
          </w:p>
          <w:p w14:paraId="1129E960" w14:textId="2E30D910" w:rsidR="00A67FF1" w:rsidRDefault="00A67FF1" w:rsidP="005420A2">
            <w:pPr>
              <w:pStyle w:val="ListParagraph"/>
              <w:numPr>
                <w:ilvl w:val="0"/>
                <w:numId w:val="3"/>
              </w:numPr>
            </w:pPr>
            <w:r>
              <w:t>Practical Assessment Group (PAGs) activities regularly embedded throughout the scheme of work</w:t>
            </w:r>
          </w:p>
          <w:p w14:paraId="0B961A89" w14:textId="0B3352E6" w:rsidR="005420A2" w:rsidRDefault="005420A2" w:rsidP="00166980"/>
          <w:p w14:paraId="4AFFEFB6" w14:textId="6627D761" w:rsidR="005420A2" w:rsidRDefault="005420A2" w:rsidP="00166980">
            <w:r>
              <w:t>Summative assessment:</w:t>
            </w:r>
          </w:p>
          <w:p w14:paraId="217E838D" w14:textId="319B1E1C" w:rsidR="005420A2" w:rsidRDefault="005420A2" w:rsidP="005420A2">
            <w:pPr>
              <w:pStyle w:val="ListParagraph"/>
              <w:numPr>
                <w:ilvl w:val="0"/>
                <w:numId w:val="3"/>
              </w:numPr>
            </w:pPr>
            <w:r>
              <w:t xml:space="preserve">45minutes assessment </w:t>
            </w:r>
          </w:p>
          <w:p w14:paraId="26DED936" w14:textId="14AD3855" w:rsidR="00A67FF1" w:rsidRDefault="00A67FF1" w:rsidP="005420A2">
            <w:pPr>
              <w:pStyle w:val="ListParagraph"/>
              <w:numPr>
                <w:ilvl w:val="0"/>
                <w:numId w:val="3"/>
              </w:numPr>
            </w:pPr>
            <w:r>
              <w:t>Assessed in practice papers</w:t>
            </w:r>
          </w:p>
          <w:p w14:paraId="06CEEFA2" w14:textId="4137006C" w:rsidR="005420A2" w:rsidRDefault="005420A2" w:rsidP="005420A2">
            <w:pPr>
              <w:pStyle w:val="ListParagraph"/>
              <w:numPr>
                <w:ilvl w:val="0"/>
                <w:numId w:val="3"/>
              </w:numPr>
            </w:pPr>
            <w:r>
              <w:t xml:space="preserve">Assesses powerful knowledge through past exam questions </w:t>
            </w:r>
          </w:p>
          <w:p w14:paraId="1191788E" w14:textId="77777777" w:rsidR="005420A2" w:rsidRDefault="005420A2" w:rsidP="005420A2">
            <w:pPr>
              <w:pStyle w:val="ListParagraph"/>
              <w:numPr>
                <w:ilvl w:val="0"/>
                <w:numId w:val="3"/>
              </w:numPr>
            </w:pPr>
            <w:r>
              <w:t xml:space="preserve">Feedback and response time built into lesson </w:t>
            </w:r>
          </w:p>
          <w:p w14:paraId="7617FEA8" w14:textId="14CAAD70" w:rsidR="005420A2" w:rsidRDefault="005420A2" w:rsidP="005420A2">
            <w:pPr>
              <w:pStyle w:val="ListParagraph"/>
            </w:pPr>
          </w:p>
          <w:p w14:paraId="3E6C70F6" w14:textId="51F0B032" w:rsidR="005420A2" w:rsidRDefault="005420A2" w:rsidP="005420A2">
            <w:pPr>
              <w:pStyle w:val="ListParagraph"/>
              <w:ind w:left="0"/>
            </w:pPr>
            <w:r>
              <w:t>Homework KS3/4:</w:t>
            </w:r>
          </w:p>
          <w:p w14:paraId="6A6C596E" w14:textId="5456E44D" w:rsidR="005420A2" w:rsidRDefault="005420A2" w:rsidP="005420A2">
            <w:pPr>
              <w:pStyle w:val="ListParagraph"/>
              <w:numPr>
                <w:ilvl w:val="0"/>
                <w:numId w:val="3"/>
              </w:numPr>
            </w:pPr>
            <w:r>
              <w:t xml:space="preserve">Weekly </w:t>
            </w:r>
            <w:r w:rsidR="00A67FF1">
              <w:t>Past Paper Questions</w:t>
            </w:r>
          </w:p>
          <w:p w14:paraId="24814C7E" w14:textId="6EAFB1B1" w:rsidR="00A67FF1" w:rsidRDefault="00A67FF1" w:rsidP="005420A2">
            <w:pPr>
              <w:pStyle w:val="ListParagraph"/>
              <w:numPr>
                <w:ilvl w:val="0"/>
                <w:numId w:val="3"/>
              </w:numPr>
            </w:pPr>
            <w:r>
              <w:t>Analysis of experimental data from PAGs</w:t>
            </w:r>
          </w:p>
          <w:p w14:paraId="0D9AD9DC" w14:textId="77777777" w:rsidR="005420A2" w:rsidRDefault="005420A2" w:rsidP="005420A2">
            <w:pPr>
              <w:pStyle w:val="ListParagraph"/>
              <w:numPr>
                <w:ilvl w:val="0"/>
                <w:numId w:val="3"/>
              </w:numPr>
            </w:pPr>
            <w:r>
              <w:t xml:space="preserve">Assesses powerful knowledge and literacy </w:t>
            </w:r>
          </w:p>
          <w:p w14:paraId="2856B1C7" w14:textId="6C4E297F" w:rsidR="005420A2" w:rsidRDefault="005420A2" w:rsidP="005420A2">
            <w:pPr>
              <w:ind w:left="360"/>
            </w:pPr>
          </w:p>
          <w:p w14:paraId="14DE2EEC" w14:textId="436ED350" w:rsidR="00A46B26" w:rsidRDefault="00A46B26" w:rsidP="00166980"/>
          <w:p w14:paraId="2ABAC3D7" w14:textId="77777777" w:rsidR="00A46B26" w:rsidRDefault="00A46B26" w:rsidP="00166980"/>
          <w:p w14:paraId="59F7DA1C" w14:textId="77777777" w:rsidR="00A46B26" w:rsidRDefault="00A46B26" w:rsidP="00166980"/>
          <w:p w14:paraId="14773732" w14:textId="77777777" w:rsidR="00A46B26" w:rsidRDefault="00A46B26" w:rsidP="00166980"/>
          <w:p w14:paraId="3C8D3688" w14:textId="77777777" w:rsidR="00A46B26" w:rsidRDefault="00A46B26" w:rsidP="00166980"/>
        </w:tc>
      </w:tr>
      <w:tr w:rsidR="00A46B26" w14:paraId="6909388E" w14:textId="77777777" w:rsidTr="00A46B26">
        <w:tc>
          <w:tcPr>
            <w:tcW w:w="3492" w:type="dxa"/>
            <w:gridSpan w:val="3"/>
            <w:vAlign w:val="center"/>
          </w:tcPr>
          <w:p w14:paraId="794C4734" w14:textId="77777777" w:rsidR="00A46B26" w:rsidRPr="00A46B26" w:rsidRDefault="00A46B26" w:rsidP="00A46B26">
            <w:pPr>
              <w:jc w:val="center"/>
              <w:rPr>
                <w:b/>
                <w:u w:val="single"/>
              </w:rPr>
            </w:pPr>
            <w:r w:rsidRPr="00A46B26">
              <w:rPr>
                <w:b/>
                <w:u w:val="single"/>
              </w:rPr>
              <w:t>Key Skills Explored</w:t>
            </w:r>
          </w:p>
        </w:tc>
        <w:tc>
          <w:tcPr>
            <w:tcW w:w="3495" w:type="dxa"/>
            <w:gridSpan w:val="4"/>
            <w:vAlign w:val="center"/>
          </w:tcPr>
          <w:p w14:paraId="7E549591" w14:textId="77777777" w:rsidR="00A46B26" w:rsidRPr="00A46B26" w:rsidRDefault="00AD595B" w:rsidP="00A46B26">
            <w:pPr>
              <w:jc w:val="center"/>
              <w:rPr>
                <w:b/>
                <w:u w:val="single"/>
              </w:rPr>
            </w:pPr>
            <w:r>
              <w:rPr>
                <w:b/>
                <w:u w:val="single"/>
              </w:rPr>
              <w:t>Vocabulary Selected for DVI</w:t>
            </w:r>
          </w:p>
        </w:tc>
        <w:tc>
          <w:tcPr>
            <w:tcW w:w="3498" w:type="dxa"/>
            <w:gridSpan w:val="3"/>
            <w:vAlign w:val="center"/>
          </w:tcPr>
          <w:p w14:paraId="0DFAC94D" w14:textId="77777777" w:rsidR="00A46B26" w:rsidRPr="00A46B26" w:rsidRDefault="00A46B26" w:rsidP="00A46B26">
            <w:pPr>
              <w:jc w:val="center"/>
              <w:rPr>
                <w:b/>
                <w:u w:val="single"/>
              </w:rPr>
            </w:pPr>
            <w:r>
              <w:rPr>
                <w:b/>
                <w:u w:val="single"/>
              </w:rPr>
              <w:t>Links to Previous Unit</w:t>
            </w:r>
          </w:p>
        </w:tc>
      </w:tr>
      <w:tr w:rsidR="00A46B26" w14:paraId="3EDECF23" w14:textId="77777777" w:rsidTr="00A46B26">
        <w:tc>
          <w:tcPr>
            <w:tcW w:w="3492" w:type="dxa"/>
            <w:gridSpan w:val="3"/>
            <w:vAlign w:val="center"/>
          </w:tcPr>
          <w:p w14:paraId="21CB9886" w14:textId="77777777" w:rsidR="00A46B26" w:rsidRDefault="00A46B26" w:rsidP="00A46B26">
            <w:pPr>
              <w:jc w:val="center"/>
              <w:rPr>
                <w:b/>
                <w:u w:val="single"/>
              </w:rPr>
            </w:pPr>
          </w:p>
          <w:p w14:paraId="0DC41F28" w14:textId="0D2A896F" w:rsidR="008F097F" w:rsidRPr="00A67FF1" w:rsidRDefault="00951F68" w:rsidP="008F097F">
            <w:pPr>
              <w:pStyle w:val="ListParagraph"/>
              <w:numPr>
                <w:ilvl w:val="0"/>
                <w:numId w:val="4"/>
              </w:numPr>
              <w:jc w:val="center"/>
              <w:rPr>
                <w:bCs/>
              </w:rPr>
            </w:pPr>
            <w:r w:rsidRPr="00A67FF1">
              <w:rPr>
                <w:bCs/>
              </w:rPr>
              <w:t>Apply investigative approaches and methods to practical work</w:t>
            </w:r>
          </w:p>
          <w:p w14:paraId="33E72943" w14:textId="08C8B83A" w:rsidR="00951F68" w:rsidRPr="00A67FF1" w:rsidRDefault="00951F68" w:rsidP="008F097F">
            <w:pPr>
              <w:pStyle w:val="ListParagraph"/>
              <w:numPr>
                <w:ilvl w:val="0"/>
                <w:numId w:val="4"/>
              </w:numPr>
              <w:jc w:val="center"/>
              <w:rPr>
                <w:bCs/>
              </w:rPr>
            </w:pPr>
            <w:r w:rsidRPr="00A67FF1">
              <w:rPr>
                <w:bCs/>
              </w:rPr>
              <w:t xml:space="preserve">Safely and correctly use a range of practical equipment and materials </w:t>
            </w:r>
          </w:p>
          <w:p w14:paraId="17503A00" w14:textId="1F5AC36C" w:rsidR="00951F68" w:rsidRPr="00A67FF1" w:rsidRDefault="00951F68" w:rsidP="008F097F">
            <w:pPr>
              <w:pStyle w:val="ListParagraph"/>
              <w:numPr>
                <w:ilvl w:val="0"/>
                <w:numId w:val="4"/>
              </w:numPr>
              <w:jc w:val="center"/>
              <w:rPr>
                <w:bCs/>
              </w:rPr>
            </w:pPr>
            <w:r w:rsidRPr="00A67FF1">
              <w:rPr>
                <w:bCs/>
              </w:rPr>
              <w:t>Visualise physical and chemical processes</w:t>
            </w:r>
          </w:p>
          <w:p w14:paraId="7807D847" w14:textId="38674761" w:rsidR="00951F68" w:rsidRPr="00A67FF1" w:rsidRDefault="00951F68" w:rsidP="008F097F">
            <w:pPr>
              <w:pStyle w:val="ListParagraph"/>
              <w:numPr>
                <w:ilvl w:val="0"/>
                <w:numId w:val="4"/>
              </w:numPr>
              <w:jc w:val="center"/>
              <w:rPr>
                <w:bCs/>
              </w:rPr>
            </w:pPr>
            <w:r w:rsidRPr="00A67FF1">
              <w:rPr>
                <w:bCs/>
              </w:rPr>
              <w:t>Manipulation of mathematical equations</w:t>
            </w:r>
          </w:p>
          <w:p w14:paraId="6D2A3126" w14:textId="0C290F6B" w:rsidR="00951F68" w:rsidRPr="00A67FF1" w:rsidRDefault="00951F68" w:rsidP="008F097F">
            <w:pPr>
              <w:pStyle w:val="ListParagraph"/>
              <w:numPr>
                <w:ilvl w:val="0"/>
                <w:numId w:val="4"/>
              </w:numPr>
              <w:jc w:val="center"/>
              <w:rPr>
                <w:bCs/>
              </w:rPr>
            </w:pPr>
            <w:r w:rsidRPr="00A67FF1">
              <w:rPr>
                <w:bCs/>
              </w:rPr>
              <w:t>Relating observable phenomena to underlying concepts</w:t>
            </w:r>
          </w:p>
          <w:p w14:paraId="1E414441" w14:textId="3D10B838" w:rsidR="00951F68" w:rsidRPr="00A67FF1" w:rsidRDefault="00951F68" w:rsidP="008F097F">
            <w:pPr>
              <w:pStyle w:val="ListParagraph"/>
              <w:numPr>
                <w:ilvl w:val="0"/>
                <w:numId w:val="4"/>
              </w:numPr>
              <w:jc w:val="center"/>
              <w:rPr>
                <w:bCs/>
              </w:rPr>
            </w:pPr>
            <w:r w:rsidRPr="00A67FF1">
              <w:rPr>
                <w:bCs/>
              </w:rPr>
              <w:t>Developing chemical common sense</w:t>
            </w:r>
          </w:p>
          <w:p w14:paraId="53EFFF5F" w14:textId="05A4883B" w:rsidR="008F097F" w:rsidRPr="008F097F" w:rsidRDefault="008F097F" w:rsidP="008F097F">
            <w:pPr>
              <w:rPr>
                <w:b/>
                <w:u w:val="single"/>
              </w:rPr>
            </w:pPr>
          </w:p>
          <w:p w14:paraId="43A4B3CE" w14:textId="77777777" w:rsidR="00A46B26" w:rsidRDefault="00A46B26" w:rsidP="00A46B26">
            <w:pPr>
              <w:rPr>
                <w:b/>
                <w:u w:val="single"/>
              </w:rPr>
            </w:pPr>
          </w:p>
        </w:tc>
        <w:tc>
          <w:tcPr>
            <w:tcW w:w="3495" w:type="dxa"/>
            <w:gridSpan w:val="4"/>
            <w:vAlign w:val="center"/>
          </w:tcPr>
          <w:p w14:paraId="43234415" w14:textId="77777777" w:rsidR="008F097F" w:rsidRPr="00B629B5" w:rsidRDefault="00A67FF1" w:rsidP="008F097F">
            <w:pPr>
              <w:pStyle w:val="ListParagraph"/>
              <w:numPr>
                <w:ilvl w:val="0"/>
                <w:numId w:val="4"/>
              </w:numPr>
              <w:jc w:val="center"/>
              <w:rPr>
                <w:bCs/>
              </w:rPr>
            </w:pPr>
            <w:r w:rsidRPr="00B629B5">
              <w:rPr>
                <w:bCs/>
              </w:rPr>
              <w:t>Quantitative</w:t>
            </w:r>
          </w:p>
          <w:p w14:paraId="41182B10" w14:textId="77777777" w:rsidR="00A67FF1" w:rsidRPr="00B629B5" w:rsidRDefault="00A67FF1" w:rsidP="008F097F">
            <w:pPr>
              <w:pStyle w:val="ListParagraph"/>
              <w:numPr>
                <w:ilvl w:val="0"/>
                <w:numId w:val="4"/>
              </w:numPr>
              <w:jc w:val="center"/>
              <w:rPr>
                <w:bCs/>
              </w:rPr>
            </w:pPr>
            <w:r w:rsidRPr="00B629B5">
              <w:rPr>
                <w:bCs/>
              </w:rPr>
              <w:t>Qualitative</w:t>
            </w:r>
          </w:p>
          <w:p w14:paraId="5BF557DC" w14:textId="77777777" w:rsidR="00A67FF1" w:rsidRPr="00B629B5" w:rsidRDefault="00A67FF1" w:rsidP="008F097F">
            <w:pPr>
              <w:pStyle w:val="ListParagraph"/>
              <w:numPr>
                <w:ilvl w:val="0"/>
                <w:numId w:val="4"/>
              </w:numPr>
              <w:jc w:val="center"/>
              <w:rPr>
                <w:bCs/>
              </w:rPr>
            </w:pPr>
            <w:r w:rsidRPr="00B629B5">
              <w:rPr>
                <w:bCs/>
              </w:rPr>
              <w:t>Percentage</w:t>
            </w:r>
          </w:p>
          <w:p w14:paraId="110DDF12" w14:textId="77777777" w:rsidR="00A67FF1" w:rsidRPr="00B629B5" w:rsidRDefault="00A67FF1" w:rsidP="008F097F">
            <w:pPr>
              <w:pStyle w:val="ListParagraph"/>
              <w:numPr>
                <w:ilvl w:val="0"/>
                <w:numId w:val="4"/>
              </w:numPr>
              <w:jc w:val="center"/>
              <w:rPr>
                <w:bCs/>
              </w:rPr>
            </w:pPr>
            <w:r w:rsidRPr="00B629B5">
              <w:rPr>
                <w:bCs/>
              </w:rPr>
              <w:t>Economy</w:t>
            </w:r>
          </w:p>
          <w:p w14:paraId="063CE21F" w14:textId="77777777" w:rsidR="00A67FF1" w:rsidRPr="00B629B5" w:rsidRDefault="00A67FF1" w:rsidP="008F097F">
            <w:pPr>
              <w:pStyle w:val="ListParagraph"/>
              <w:numPr>
                <w:ilvl w:val="0"/>
                <w:numId w:val="4"/>
              </w:numPr>
              <w:jc w:val="center"/>
              <w:rPr>
                <w:bCs/>
              </w:rPr>
            </w:pPr>
            <w:r w:rsidRPr="00B629B5">
              <w:rPr>
                <w:bCs/>
              </w:rPr>
              <w:t>Titration</w:t>
            </w:r>
          </w:p>
          <w:p w14:paraId="0074FC43" w14:textId="77777777" w:rsidR="00A67FF1" w:rsidRPr="00B629B5" w:rsidRDefault="00B629B5" w:rsidP="008F097F">
            <w:pPr>
              <w:pStyle w:val="ListParagraph"/>
              <w:numPr>
                <w:ilvl w:val="0"/>
                <w:numId w:val="4"/>
              </w:numPr>
              <w:jc w:val="center"/>
              <w:rPr>
                <w:bCs/>
              </w:rPr>
            </w:pPr>
            <w:r w:rsidRPr="00B629B5">
              <w:rPr>
                <w:bCs/>
              </w:rPr>
              <w:t>Oxidation</w:t>
            </w:r>
          </w:p>
          <w:p w14:paraId="1310B806" w14:textId="77777777" w:rsidR="00B629B5" w:rsidRPr="00B629B5" w:rsidRDefault="00B629B5" w:rsidP="008F097F">
            <w:pPr>
              <w:pStyle w:val="ListParagraph"/>
              <w:numPr>
                <w:ilvl w:val="0"/>
                <w:numId w:val="4"/>
              </w:numPr>
              <w:jc w:val="center"/>
              <w:rPr>
                <w:bCs/>
              </w:rPr>
            </w:pPr>
            <w:r w:rsidRPr="00B629B5">
              <w:rPr>
                <w:bCs/>
              </w:rPr>
              <w:t>Substance</w:t>
            </w:r>
          </w:p>
          <w:p w14:paraId="2092CD17" w14:textId="73EFA1E2" w:rsidR="00B629B5" w:rsidRPr="008F097F" w:rsidRDefault="00B629B5" w:rsidP="008F097F">
            <w:pPr>
              <w:pStyle w:val="ListParagraph"/>
              <w:numPr>
                <w:ilvl w:val="0"/>
                <w:numId w:val="4"/>
              </w:numPr>
              <w:jc w:val="center"/>
              <w:rPr>
                <w:b/>
                <w:u w:val="single"/>
              </w:rPr>
            </w:pPr>
            <w:r w:rsidRPr="00B629B5">
              <w:rPr>
                <w:bCs/>
              </w:rPr>
              <w:t>Redox</w:t>
            </w:r>
          </w:p>
        </w:tc>
        <w:tc>
          <w:tcPr>
            <w:tcW w:w="3498" w:type="dxa"/>
            <w:gridSpan w:val="3"/>
            <w:vAlign w:val="center"/>
          </w:tcPr>
          <w:p w14:paraId="4A797DE5" w14:textId="77777777" w:rsidR="008F097F" w:rsidRPr="00A67FF1" w:rsidRDefault="00A67FF1" w:rsidP="002860AA">
            <w:pPr>
              <w:pStyle w:val="ListParagraph"/>
              <w:numPr>
                <w:ilvl w:val="0"/>
                <w:numId w:val="4"/>
              </w:numPr>
              <w:jc w:val="center"/>
              <w:rPr>
                <w:bCs/>
              </w:rPr>
            </w:pPr>
            <w:r w:rsidRPr="00A67FF1">
              <w:rPr>
                <w:bCs/>
              </w:rPr>
              <w:t>GCSE Chemistry</w:t>
            </w:r>
          </w:p>
          <w:p w14:paraId="1BEAF98F" w14:textId="77777777" w:rsidR="00E94F4C" w:rsidRPr="00E94F4C" w:rsidRDefault="00A67FF1" w:rsidP="00E94F4C">
            <w:pPr>
              <w:pStyle w:val="ListParagraph"/>
              <w:numPr>
                <w:ilvl w:val="0"/>
                <w:numId w:val="4"/>
              </w:numPr>
              <w:jc w:val="center"/>
              <w:rPr>
                <w:b/>
                <w:u w:val="single"/>
              </w:rPr>
            </w:pPr>
            <w:r w:rsidRPr="00A67FF1">
              <w:rPr>
                <w:bCs/>
              </w:rPr>
              <w:t xml:space="preserve">Module 1 </w:t>
            </w:r>
            <w:r w:rsidR="00E94F4C">
              <w:rPr>
                <w:bCs/>
              </w:rPr>
              <w:t>–</w:t>
            </w:r>
            <w:r w:rsidRPr="00A67FF1">
              <w:rPr>
                <w:bCs/>
              </w:rPr>
              <w:t xml:space="preserve"> PAGs</w:t>
            </w:r>
          </w:p>
          <w:p w14:paraId="44ABFA00" w14:textId="77777777" w:rsidR="00E94F4C" w:rsidRPr="00E94F4C" w:rsidRDefault="00E94F4C" w:rsidP="00E94F4C">
            <w:pPr>
              <w:pStyle w:val="ListParagraph"/>
              <w:numPr>
                <w:ilvl w:val="0"/>
                <w:numId w:val="4"/>
              </w:numPr>
              <w:jc w:val="center"/>
              <w:rPr>
                <w:b/>
                <w:u w:val="single"/>
              </w:rPr>
            </w:pPr>
            <w:r>
              <w:rPr>
                <w:bCs/>
              </w:rPr>
              <w:t>Module 2 – Foundations in Chemistry</w:t>
            </w:r>
          </w:p>
          <w:p w14:paraId="3AD2AA5F" w14:textId="72339471" w:rsidR="00E94F4C" w:rsidRPr="00E94F4C" w:rsidRDefault="00E94F4C" w:rsidP="00E94F4C">
            <w:pPr>
              <w:pStyle w:val="ListParagraph"/>
              <w:numPr>
                <w:ilvl w:val="0"/>
                <w:numId w:val="4"/>
              </w:numPr>
              <w:jc w:val="center"/>
              <w:rPr>
                <w:b/>
                <w:u w:val="single"/>
              </w:rPr>
            </w:pPr>
            <w:r>
              <w:rPr>
                <w:bCs/>
              </w:rPr>
              <w:t>Module 3 – Periodic Table and Energy</w:t>
            </w:r>
          </w:p>
        </w:tc>
      </w:tr>
      <w:tr w:rsidR="00A46B26" w14:paraId="1E113C6C" w14:textId="77777777" w:rsidTr="00A46B26">
        <w:tc>
          <w:tcPr>
            <w:tcW w:w="3492" w:type="dxa"/>
            <w:gridSpan w:val="3"/>
            <w:vAlign w:val="center"/>
          </w:tcPr>
          <w:p w14:paraId="04BD3647" w14:textId="77777777" w:rsidR="00A46B26" w:rsidRDefault="00A46B26" w:rsidP="00A46B26">
            <w:pPr>
              <w:jc w:val="center"/>
              <w:rPr>
                <w:b/>
                <w:u w:val="single"/>
              </w:rPr>
            </w:pPr>
            <w:r>
              <w:rPr>
                <w:b/>
                <w:u w:val="single"/>
              </w:rPr>
              <w:t>Links to Careers/Employability</w:t>
            </w:r>
          </w:p>
        </w:tc>
        <w:tc>
          <w:tcPr>
            <w:tcW w:w="6993" w:type="dxa"/>
            <w:gridSpan w:val="7"/>
            <w:vAlign w:val="center"/>
          </w:tcPr>
          <w:p w14:paraId="69D7FCFC" w14:textId="77777777" w:rsidR="00A46B26" w:rsidRPr="00A46B26" w:rsidRDefault="00A46B26" w:rsidP="00A46B26">
            <w:pPr>
              <w:jc w:val="center"/>
              <w:rPr>
                <w:b/>
                <w:u w:val="single"/>
              </w:rPr>
            </w:pPr>
            <w:r>
              <w:rPr>
                <w:b/>
                <w:u w:val="single"/>
              </w:rPr>
              <w:t>How does this unit prepare students for the next unit?</w:t>
            </w:r>
          </w:p>
        </w:tc>
      </w:tr>
      <w:tr w:rsidR="00A46B26" w14:paraId="7DA832C4" w14:textId="77777777" w:rsidTr="00A46B26">
        <w:trPr>
          <w:trHeight w:val="1153"/>
        </w:trPr>
        <w:tc>
          <w:tcPr>
            <w:tcW w:w="3492" w:type="dxa"/>
            <w:gridSpan w:val="3"/>
            <w:vAlign w:val="center"/>
          </w:tcPr>
          <w:p w14:paraId="1647ABCA" w14:textId="77777777" w:rsidR="00A46B26" w:rsidRDefault="00A46B26" w:rsidP="00A46B26">
            <w:pPr>
              <w:jc w:val="center"/>
              <w:rPr>
                <w:b/>
                <w:u w:val="single"/>
              </w:rPr>
            </w:pPr>
          </w:p>
          <w:p w14:paraId="1B188A3C" w14:textId="225A55DD" w:rsidR="002860AA" w:rsidRDefault="002860AA" w:rsidP="002860AA">
            <w:pPr>
              <w:pStyle w:val="ListParagraph"/>
              <w:numPr>
                <w:ilvl w:val="0"/>
                <w:numId w:val="5"/>
              </w:numPr>
              <w:jc w:val="center"/>
              <w:rPr>
                <w:bCs/>
              </w:rPr>
            </w:pPr>
            <w:r w:rsidRPr="00DE1933">
              <w:rPr>
                <w:bCs/>
              </w:rPr>
              <w:t>Chemist</w:t>
            </w:r>
          </w:p>
          <w:p w14:paraId="7E9CB84D" w14:textId="3AA789D8" w:rsidR="00951F68" w:rsidRPr="00DE1933" w:rsidRDefault="00951F68" w:rsidP="002860AA">
            <w:pPr>
              <w:pStyle w:val="ListParagraph"/>
              <w:numPr>
                <w:ilvl w:val="0"/>
                <w:numId w:val="5"/>
              </w:numPr>
              <w:jc w:val="center"/>
              <w:rPr>
                <w:bCs/>
              </w:rPr>
            </w:pPr>
            <w:r>
              <w:rPr>
                <w:bCs/>
              </w:rPr>
              <w:t>Doctor/ Dentist</w:t>
            </w:r>
          </w:p>
          <w:p w14:paraId="375D2104" w14:textId="0C35F710" w:rsidR="002860AA" w:rsidRPr="00DE1933" w:rsidRDefault="002860AA" w:rsidP="002860AA">
            <w:pPr>
              <w:pStyle w:val="ListParagraph"/>
              <w:numPr>
                <w:ilvl w:val="0"/>
                <w:numId w:val="5"/>
              </w:numPr>
              <w:jc w:val="center"/>
              <w:rPr>
                <w:bCs/>
              </w:rPr>
            </w:pPr>
            <w:r w:rsidRPr="00DE1933">
              <w:rPr>
                <w:bCs/>
              </w:rPr>
              <w:t>Lab Researcher</w:t>
            </w:r>
          </w:p>
          <w:p w14:paraId="24EE28FB" w14:textId="46B0D9A5" w:rsidR="004F6B85" w:rsidRPr="00DE1933" w:rsidRDefault="00DE1933" w:rsidP="002860AA">
            <w:pPr>
              <w:pStyle w:val="ListParagraph"/>
              <w:numPr>
                <w:ilvl w:val="0"/>
                <w:numId w:val="5"/>
              </w:numPr>
              <w:jc w:val="center"/>
              <w:rPr>
                <w:bCs/>
              </w:rPr>
            </w:pPr>
            <w:r w:rsidRPr="00DE1933">
              <w:rPr>
                <w:bCs/>
              </w:rPr>
              <w:t>Pharmacist</w:t>
            </w:r>
          </w:p>
          <w:p w14:paraId="099A7718" w14:textId="6799B182" w:rsidR="00DE1933" w:rsidRPr="00DE1933" w:rsidRDefault="00DE1933" w:rsidP="002860AA">
            <w:pPr>
              <w:pStyle w:val="ListParagraph"/>
              <w:numPr>
                <w:ilvl w:val="0"/>
                <w:numId w:val="5"/>
              </w:numPr>
              <w:jc w:val="center"/>
              <w:rPr>
                <w:bCs/>
              </w:rPr>
            </w:pPr>
            <w:r w:rsidRPr="00DE1933">
              <w:rPr>
                <w:bCs/>
              </w:rPr>
              <w:t xml:space="preserve">Oil and Gas </w:t>
            </w:r>
          </w:p>
          <w:p w14:paraId="0E3BC702" w14:textId="1CAF5F56" w:rsidR="00DE1933" w:rsidRDefault="00DE1933" w:rsidP="002860AA">
            <w:pPr>
              <w:pStyle w:val="ListParagraph"/>
              <w:numPr>
                <w:ilvl w:val="0"/>
                <w:numId w:val="5"/>
              </w:numPr>
              <w:jc w:val="center"/>
              <w:rPr>
                <w:bCs/>
              </w:rPr>
            </w:pPr>
            <w:r w:rsidRPr="00DE1933">
              <w:rPr>
                <w:bCs/>
              </w:rPr>
              <w:lastRenderedPageBreak/>
              <w:t>Chemical Engineer</w:t>
            </w:r>
          </w:p>
          <w:p w14:paraId="0EE9299B" w14:textId="65543ED7" w:rsidR="00A67FF1" w:rsidRDefault="00A67FF1" w:rsidP="002860AA">
            <w:pPr>
              <w:pStyle w:val="ListParagraph"/>
              <w:numPr>
                <w:ilvl w:val="0"/>
                <w:numId w:val="5"/>
              </w:numPr>
              <w:jc w:val="center"/>
              <w:rPr>
                <w:bCs/>
              </w:rPr>
            </w:pPr>
            <w:r>
              <w:rPr>
                <w:bCs/>
              </w:rPr>
              <w:t>Analytical skills</w:t>
            </w:r>
          </w:p>
          <w:p w14:paraId="6BFBB41D" w14:textId="37621E5E" w:rsidR="00A67FF1" w:rsidRPr="00DE1933" w:rsidRDefault="00A67FF1" w:rsidP="002860AA">
            <w:pPr>
              <w:pStyle w:val="ListParagraph"/>
              <w:numPr>
                <w:ilvl w:val="0"/>
                <w:numId w:val="5"/>
              </w:numPr>
              <w:jc w:val="center"/>
              <w:rPr>
                <w:bCs/>
              </w:rPr>
            </w:pPr>
            <w:r>
              <w:rPr>
                <w:bCs/>
              </w:rPr>
              <w:t xml:space="preserve">Highly desirable course for employers in the </w:t>
            </w:r>
            <w:r w:rsidR="00E94F4C">
              <w:rPr>
                <w:bCs/>
              </w:rPr>
              <w:t>financial</w:t>
            </w:r>
            <w:r>
              <w:rPr>
                <w:bCs/>
              </w:rPr>
              <w:t xml:space="preserve"> services</w:t>
            </w:r>
          </w:p>
          <w:p w14:paraId="439F091E" w14:textId="77777777" w:rsidR="002860AA" w:rsidRPr="002860AA" w:rsidRDefault="002860AA" w:rsidP="002860AA">
            <w:pPr>
              <w:rPr>
                <w:b/>
                <w:u w:val="single"/>
              </w:rPr>
            </w:pPr>
          </w:p>
          <w:p w14:paraId="5B28F609" w14:textId="77777777" w:rsidR="00A46B26" w:rsidRDefault="00A46B26" w:rsidP="00A46B26">
            <w:pPr>
              <w:jc w:val="center"/>
              <w:rPr>
                <w:b/>
                <w:u w:val="single"/>
              </w:rPr>
            </w:pPr>
          </w:p>
          <w:p w14:paraId="4D739D3F" w14:textId="77777777" w:rsidR="00A46B26" w:rsidRDefault="00A46B26" w:rsidP="00A46B26">
            <w:pPr>
              <w:jc w:val="center"/>
              <w:rPr>
                <w:b/>
                <w:u w:val="single"/>
              </w:rPr>
            </w:pPr>
          </w:p>
          <w:p w14:paraId="67645BE4" w14:textId="77777777" w:rsidR="00A46B26" w:rsidRDefault="00A46B26" w:rsidP="00A46B26">
            <w:pPr>
              <w:rPr>
                <w:b/>
                <w:u w:val="single"/>
              </w:rPr>
            </w:pPr>
          </w:p>
          <w:p w14:paraId="232BB1FF" w14:textId="77777777" w:rsidR="00A46B26" w:rsidRPr="00A46B26" w:rsidRDefault="00A46B26" w:rsidP="00501DFE">
            <w:pPr>
              <w:rPr>
                <w:b/>
                <w:u w:val="single"/>
              </w:rPr>
            </w:pPr>
          </w:p>
        </w:tc>
        <w:tc>
          <w:tcPr>
            <w:tcW w:w="6993" w:type="dxa"/>
            <w:gridSpan w:val="7"/>
            <w:vAlign w:val="center"/>
          </w:tcPr>
          <w:p w14:paraId="5E585455" w14:textId="43BDDF89" w:rsidR="00A46B26" w:rsidRPr="002860AA" w:rsidRDefault="00A67FF1" w:rsidP="00A46B26">
            <w:pPr>
              <w:rPr>
                <w:bCs/>
              </w:rPr>
            </w:pPr>
            <w:r>
              <w:rPr>
                <w:bCs/>
              </w:rPr>
              <w:lastRenderedPageBreak/>
              <w:t xml:space="preserve">This module </w:t>
            </w:r>
            <w:r w:rsidR="00E94F4C">
              <w:rPr>
                <w:bCs/>
              </w:rPr>
              <w:t xml:space="preserve">provides many opportunities for students to develop mathematical skills, including the use of logarithms and exponents, when studying the content of this section and when carrying out quantitative practical work. For students who apply to study </w:t>
            </w:r>
            <w:r w:rsidR="00CE1191">
              <w:rPr>
                <w:bCs/>
              </w:rPr>
              <w:t xml:space="preserve">university </w:t>
            </w:r>
            <w:r w:rsidR="00E94F4C">
              <w:rPr>
                <w:bCs/>
              </w:rPr>
              <w:t xml:space="preserve">courses such as Chemistry, Biochemistry, Natural Sciences, Engineering, Physics, Mathematics will be at an advantage </w:t>
            </w:r>
            <w:r w:rsidR="00CE1191">
              <w:rPr>
                <w:bCs/>
              </w:rPr>
              <w:t>having succeeded in this module within A-Level Chemistry</w:t>
            </w:r>
          </w:p>
        </w:tc>
      </w:tr>
    </w:tbl>
    <w:p w14:paraId="38B08D01" w14:textId="203B9617" w:rsidR="002F34DF" w:rsidRPr="005420A2" w:rsidRDefault="002F34DF">
      <w:pPr>
        <w:rPr>
          <w:sz w:val="24"/>
        </w:rPr>
      </w:pPr>
    </w:p>
    <w:p w14:paraId="28F9C075" w14:textId="29A17C8C" w:rsidR="005420A2" w:rsidRPr="005420A2" w:rsidRDefault="005420A2">
      <w:pPr>
        <w:rPr>
          <w:sz w:val="24"/>
        </w:rPr>
      </w:pPr>
      <w:r w:rsidRPr="005420A2">
        <w:rPr>
          <w:sz w:val="24"/>
        </w:rPr>
        <w:t xml:space="preserve">KO </w:t>
      </w:r>
    </w:p>
    <w:p w14:paraId="3C417260" w14:textId="557AF79F" w:rsidR="005420A2" w:rsidRDefault="005420A2">
      <w:pPr>
        <w:rPr>
          <w:sz w:val="24"/>
        </w:rPr>
      </w:pPr>
      <w:r>
        <w:rPr>
          <w:sz w:val="24"/>
        </w:rPr>
        <w:t>Black (all)</w:t>
      </w:r>
    </w:p>
    <w:p w14:paraId="697A690C" w14:textId="3DD6D0F2" w:rsidR="005420A2" w:rsidRPr="005420A2" w:rsidRDefault="005420A2">
      <w:pPr>
        <w:rPr>
          <w:color w:val="538135" w:themeColor="accent6" w:themeShade="BF"/>
          <w:sz w:val="24"/>
        </w:rPr>
      </w:pPr>
      <w:r>
        <w:rPr>
          <w:sz w:val="24"/>
        </w:rPr>
        <w:t>Higher (</w:t>
      </w:r>
      <w:r w:rsidRPr="005420A2">
        <w:rPr>
          <w:color w:val="538135" w:themeColor="accent6" w:themeShade="BF"/>
          <w:sz w:val="24"/>
        </w:rPr>
        <w:t>Dark green)</w:t>
      </w:r>
    </w:p>
    <w:p w14:paraId="751AA07D" w14:textId="6C0EDC19" w:rsidR="005420A2" w:rsidRPr="005420A2" w:rsidRDefault="005420A2">
      <w:pPr>
        <w:rPr>
          <w:sz w:val="24"/>
        </w:rPr>
      </w:pPr>
      <w:r>
        <w:rPr>
          <w:sz w:val="24"/>
        </w:rPr>
        <w:t>Triple (</w:t>
      </w:r>
      <w:r w:rsidRPr="005420A2">
        <w:rPr>
          <w:color w:val="C00000"/>
          <w:sz w:val="24"/>
        </w:rPr>
        <w:t>Maroon / burgundy</w:t>
      </w:r>
      <w:r>
        <w:rPr>
          <w:sz w:val="24"/>
        </w:rPr>
        <w:t>)</w:t>
      </w:r>
    </w:p>
    <w:sectPr w:rsidR="005420A2" w:rsidRPr="005420A2" w:rsidSect="00166980">
      <w:pgSz w:w="11906" w:h="16838"/>
      <w:pgMar w:top="851" w:right="2125"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5A"/>
    <w:multiLevelType w:val="hybridMultilevel"/>
    <w:tmpl w:val="6088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C4054"/>
    <w:multiLevelType w:val="hybridMultilevel"/>
    <w:tmpl w:val="3A78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96C39"/>
    <w:multiLevelType w:val="hybridMultilevel"/>
    <w:tmpl w:val="36C6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27CBA"/>
    <w:multiLevelType w:val="hybridMultilevel"/>
    <w:tmpl w:val="939A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F21A3"/>
    <w:multiLevelType w:val="hybridMultilevel"/>
    <w:tmpl w:val="20D0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360E3"/>
    <w:multiLevelType w:val="hybridMultilevel"/>
    <w:tmpl w:val="656E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A04B1"/>
    <w:multiLevelType w:val="hybridMultilevel"/>
    <w:tmpl w:val="39B6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F454E"/>
    <w:multiLevelType w:val="hybridMultilevel"/>
    <w:tmpl w:val="01EC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80"/>
    <w:rsid w:val="00041F33"/>
    <w:rsid w:val="00166980"/>
    <w:rsid w:val="002860AA"/>
    <w:rsid w:val="002F34DF"/>
    <w:rsid w:val="002F7763"/>
    <w:rsid w:val="00314600"/>
    <w:rsid w:val="00387B7C"/>
    <w:rsid w:val="003B4298"/>
    <w:rsid w:val="004B0349"/>
    <w:rsid w:val="004F6B85"/>
    <w:rsid w:val="00501DFE"/>
    <w:rsid w:val="0052613F"/>
    <w:rsid w:val="005420A2"/>
    <w:rsid w:val="00560BF1"/>
    <w:rsid w:val="005766A2"/>
    <w:rsid w:val="005B7967"/>
    <w:rsid w:val="006316C5"/>
    <w:rsid w:val="006A6A14"/>
    <w:rsid w:val="006B285E"/>
    <w:rsid w:val="006B57E6"/>
    <w:rsid w:val="006C5AC0"/>
    <w:rsid w:val="006D174A"/>
    <w:rsid w:val="007B5DCF"/>
    <w:rsid w:val="007C6297"/>
    <w:rsid w:val="00874BE3"/>
    <w:rsid w:val="008F097F"/>
    <w:rsid w:val="00951F68"/>
    <w:rsid w:val="009861CC"/>
    <w:rsid w:val="00A346A9"/>
    <w:rsid w:val="00A46B26"/>
    <w:rsid w:val="00A532FE"/>
    <w:rsid w:val="00A67FF1"/>
    <w:rsid w:val="00AD595B"/>
    <w:rsid w:val="00B11355"/>
    <w:rsid w:val="00B47321"/>
    <w:rsid w:val="00B621E2"/>
    <w:rsid w:val="00B629B5"/>
    <w:rsid w:val="00BF5BE5"/>
    <w:rsid w:val="00C252E3"/>
    <w:rsid w:val="00C846BF"/>
    <w:rsid w:val="00CE1191"/>
    <w:rsid w:val="00CF03D2"/>
    <w:rsid w:val="00D32584"/>
    <w:rsid w:val="00D42262"/>
    <w:rsid w:val="00DC0D7A"/>
    <w:rsid w:val="00DD7DDF"/>
    <w:rsid w:val="00DE1933"/>
    <w:rsid w:val="00E673F9"/>
    <w:rsid w:val="00E94F4C"/>
    <w:rsid w:val="00F552B5"/>
    <w:rsid w:val="00F62C75"/>
    <w:rsid w:val="00F93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112A"/>
  <w15:chartTrackingRefBased/>
  <w15:docId w15:val="{183927CC-A481-442D-838D-D3CD510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37296">
      <w:bodyDiv w:val="1"/>
      <w:marLeft w:val="0"/>
      <w:marRight w:val="0"/>
      <w:marTop w:val="0"/>
      <w:marBottom w:val="0"/>
      <w:divBdr>
        <w:top w:val="none" w:sz="0" w:space="0" w:color="auto"/>
        <w:left w:val="none" w:sz="0" w:space="0" w:color="auto"/>
        <w:bottom w:val="none" w:sz="0" w:space="0" w:color="auto"/>
        <w:right w:val="none" w:sz="0" w:space="0" w:color="auto"/>
      </w:divBdr>
    </w:div>
    <w:div w:id="1547176386">
      <w:bodyDiv w:val="1"/>
      <w:marLeft w:val="0"/>
      <w:marRight w:val="0"/>
      <w:marTop w:val="0"/>
      <w:marBottom w:val="0"/>
      <w:divBdr>
        <w:top w:val="none" w:sz="0" w:space="0" w:color="auto"/>
        <w:left w:val="none" w:sz="0" w:space="0" w:color="auto"/>
        <w:bottom w:val="none" w:sz="0" w:space="0" w:color="auto"/>
        <w:right w:val="none" w:sz="0" w:space="0" w:color="auto"/>
      </w:divBdr>
    </w:div>
    <w:div w:id="1964993804">
      <w:bodyDiv w:val="1"/>
      <w:marLeft w:val="0"/>
      <w:marRight w:val="0"/>
      <w:marTop w:val="0"/>
      <w:marBottom w:val="0"/>
      <w:divBdr>
        <w:top w:val="none" w:sz="0" w:space="0" w:color="auto"/>
        <w:left w:val="none" w:sz="0" w:space="0" w:color="auto"/>
        <w:bottom w:val="none" w:sz="0" w:space="0" w:color="auto"/>
        <w:right w:val="none" w:sz="0" w:space="0" w:color="auto"/>
      </w:divBdr>
    </w:div>
    <w:div w:id="21345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479283-8fd9-4aff-b19f-38b2bc70945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A3C0C86B6F74BBA11D242FD2AEF83" ma:contentTypeVersion="10" ma:contentTypeDescription="Create a new document." ma:contentTypeScope="" ma:versionID="91e4fa096de1d6473be316e3d718a4c5">
  <xsd:schema xmlns:xsd="http://www.w3.org/2001/XMLSchema" xmlns:xs="http://www.w3.org/2001/XMLSchema" xmlns:p="http://schemas.microsoft.com/office/2006/metadata/properties" xmlns:ns2="68c5841a-5909-4d2f-a544-c309ae69ac52" xmlns:ns3="87479283-8fd9-4aff-b19f-38b2bc709453" targetNamespace="http://schemas.microsoft.com/office/2006/metadata/properties" ma:root="true" ma:fieldsID="37719f635a55a21c6c74f55fc2c350a0" ns2:_="" ns3:_="">
    <xsd:import namespace="68c5841a-5909-4d2f-a544-c309ae69ac52"/>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841a-5909-4d2f-a544-c309ae69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99B39-A758-4BF6-BE16-54357DC65431}">
  <ds:schemaRefs>
    <ds:schemaRef ds:uri="http://schemas.microsoft.com/office/2006/metadata/properties"/>
    <ds:schemaRef ds:uri="http://schemas.microsoft.com/office/infopath/2007/PartnerControls"/>
    <ds:schemaRef ds:uri="68c5841a-5909-4d2f-a544-c309ae69ac52"/>
    <ds:schemaRef ds:uri="87479283-8fd9-4aff-b19f-38b2bc709453"/>
  </ds:schemaRefs>
</ds:datastoreItem>
</file>

<file path=customXml/itemProps2.xml><?xml version="1.0" encoding="utf-8"?>
<ds:datastoreItem xmlns:ds="http://schemas.openxmlformats.org/officeDocument/2006/customXml" ds:itemID="{6283C3C1-D4E0-4F10-AF1F-105587E5C410}">
  <ds:schemaRefs>
    <ds:schemaRef ds:uri="http://schemas.microsoft.com/sharepoint/v3/contenttype/forms"/>
  </ds:schemaRefs>
</ds:datastoreItem>
</file>

<file path=customXml/itemProps3.xml><?xml version="1.0" encoding="utf-8"?>
<ds:datastoreItem xmlns:ds="http://schemas.openxmlformats.org/officeDocument/2006/customXml" ds:itemID="{B3959069-F443-41FF-80B8-5B030086CCEF}"/>
</file>

<file path=docProps/app.xml><?xml version="1.0" encoding="utf-8"?>
<Properties xmlns="http://schemas.openxmlformats.org/officeDocument/2006/extended-properties" xmlns:vt="http://schemas.openxmlformats.org/officeDocument/2006/docPropsVTypes">
  <Template>Normal.dotm</Template>
  <TotalTime>18</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Khan (St Marks)</dc:creator>
  <cp:keywords/>
  <dc:description/>
  <cp:lastModifiedBy>David Gyamfi (St Marks)</cp:lastModifiedBy>
  <cp:revision>5</cp:revision>
  <cp:lastPrinted>2022-02-23T15:20:00Z</cp:lastPrinted>
  <dcterms:created xsi:type="dcterms:W3CDTF">2022-06-24T10:41:00Z</dcterms:created>
  <dcterms:modified xsi:type="dcterms:W3CDTF">2022-06-24T11:01:00Z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0x01010060FA3C0C86B6F74BBA11D242FD2AEF83</vt:lpwstr>
  </property>
  <property fmtid="{D5CDD505-2E9C-101B-9397-08002B2CF9AE}" pid="3" name="MediaServiceImageTags">
    <vt:lpwstr/>
  </property>
  <property fmtid="{D5CDD505-2E9C-101B-9397-08002B2CF9AE}" pid="4" name="Order">
    <vt:r8>272600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