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0"/>
        <w:gridCol w:w="1109"/>
        <w:gridCol w:w="1113"/>
        <w:gridCol w:w="1111"/>
        <w:gridCol w:w="1110"/>
        <w:gridCol w:w="1110"/>
        <w:gridCol w:w="164"/>
        <w:gridCol w:w="947"/>
        <w:gridCol w:w="1842"/>
        <w:gridCol w:w="709"/>
      </w:tblGrid>
      <w:tr w:rsidR="00166980" w14:paraId="1C2E822E" w14:textId="77777777" w:rsidTr="00166980">
        <w:trPr>
          <w:trHeight w:val="416"/>
        </w:trPr>
        <w:tc>
          <w:tcPr>
            <w:tcW w:w="10485" w:type="dxa"/>
            <w:gridSpan w:val="10"/>
            <w:vAlign w:val="center"/>
          </w:tcPr>
          <w:p w14:paraId="33B0AECB" w14:textId="11AD74EC" w:rsidR="00C63D77" w:rsidRPr="00C63D77" w:rsidRDefault="00166980" w:rsidP="00166980">
            <w:r w:rsidRPr="00166980">
              <w:rPr>
                <w:b/>
              </w:rPr>
              <w:t>Unit Overview:</w:t>
            </w:r>
            <w:r w:rsidR="0077778A">
              <w:rPr>
                <w:b/>
              </w:rPr>
              <w:t xml:space="preserve"> </w:t>
            </w:r>
            <w:r w:rsidR="00C63D77">
              <w:t xml:space="preserve">Gothic Fiction </w:t>
            </w:r>
          </w:p>
        </w:tc>
      </w:tr>
      <w:tr w:rsidR="00166980" w14:paraId="2CFBA4A4" w14:textId="77777777" w:rsidTr="00A46B26">
        <w:trPr>
          <w:trHeight w:val="419"/>
        </w:trPr>
        <w:tc>
          <w:tcPr>
            <w:tcW w:w="1270" w:type="dxa"/>
            <w:vAlign w:val="center"/>
          </w:tcPr>
          <w:p w14:paraId="3F44EFC9" w14:textId="77777777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Half- Term:</w:t>
            </w:r>
          </w:p>
        </w:tc>
        <w:tc>
          <w:tcPr>
            <w:tcW w:w="1109" w:type="dxa"/>
            <w:vAlign w:val="center"/>
          </w:tcPr>
          <w:p w14:paraId="52AFBA06" w14:textId="77777777" w:rsidR="00166980" w:rsidRPr="00166980" w:rsidRDefault="00166980" w:rsidP="00166980">
            <w:pPr>
              <w:jc w:val="center"/>
            </w:pPr>
            <w:r w:rsidRPr="0066257C">
              <w:rPr>
                <w:highlight w:val="yellow"/>
              </w:rPr>
              <w:t>AUT 1</w:t>
            </w:r>
          </w:p>
        </w:tc>
        <w:tc>
          <w:tcPr>
            <w:tcW w:w="1113" w:type="dxa"/>
            <w:vAlign w:val="center"/>
          </w:tcPr>
          <w:p w14:paraId="3A806760" w14:textId="77777777" w:rsidR="00166980" w:rsidRPr="00166980" w:rsidRDefault="00166980" w:rsidP="00166980">
            <w:pPr>
              <w:jc w:val="center"/>
            </w:pPr>
            <w:r w:rsidRPr="00166980">
              <w:t>AUT 2</w:t>
            </w:r>
          </w:p>
        </w:tc>
        <w:tc>
          <w:tcPr>
            <w:tcW w:w="1111" w:type="dxa"/>
            <w:vAlign w:val="center"/>
          </w:tcPr>
          <w:p w14:paraId="6B0A96A1" w14:textId="77777777" w:rsidR="00166980" w:rsidRPr="00166980" w:rsidRDefault="00166980" w:rsidP="00166980">
            <w:pPr>
              <w:jc w:val="center"/>
            </w:pPr>
            <w:r w:rsidRPr="00166980">
              <w:t>SPR 1</w:t>
            </w:r>
          </w:p>
        </w:tc>
        <w:tc>
          <w:tcPr>
            <w:tcW w:w="1110" w:type="dxa"/>
            <w:vAlign w:val="center"/>
          </w:tcPr>
          <w:p w14:paraId="104186A4" w14:textId="77777777" w:rsidR="00166980" w:rsidRPr="00166980" w:rsidRDefault="00166980" w:rsidP="00166980">
            <w:pPr>
              <w:jc w:val="center"/>
            </w:pPr>
            <w:r w:rsidRPr="00166980">
              <w:t>SPR 2</w:t>
            </w:r>
          </w:p>
        </w:tc>
        <w:tc>
          <w:tcPr>
            <w:tcW w:w="1110" w:type="dxa"/>
            <w:vAlign w:val="center"/>
          </w:tcPr>
          <w:p w14:paraId="3CD707A3" w14:textId="77777777" w:rsidR="00166980" w:rsidRPr="0066257C" w:rsidRDefault="00166980" w:rsidP="00166980">
            <w:pPr>
              <w:jc w:val="center"/>
            </w:pPr>
            <w:r w:rsidRPr="0066257C">
              <w:t>SUM 1</w:t>
            </w:r>
          </w:p>
        </w:tc>
        <w:tc>
          <w:tcPr>
            <w:tcW w:w="1111" w:type="dxa"/>
            <w:gridSpan w:val="2"/>
            <w:vAlign w:val="center"/>
          </w:tcPr>
          <w:p w14:paraId="204CCBB0" w14:textId="77777777" w:rsidR="00166980" w:rsidRPr="0066257C" w:rsidRDefault="00166980" w:rsidP="00166980">
            <w:pPr>
              <w:jc w:val="center"/>
            </w:pPr>
            <w:r w:rsidRPr="0066257C">
              <w:t>SUM 2</w:t>
            </w:r>
          </w:p>
        </w:tc>
        <w:tc>
          <w:tcPr>
            <w:tcW w:w="1842" w:type="dxa"/>
            <w:vAlign w:val="center"/>
          </w:tcPr>
          <w:p w14:paraId="3D2EDFC0" w14:textId="77777777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No of Lessons:</w:t>
            </w:r>
          </w:p>
        </w:tc>
        <w:tc>
          <w:tcPr>
            <w:tcW w:w="709" w:type="dxa"/>
            <w:vAlign w:val="center"/>
          </w:tcPr>
          <w:p w14:paraId="4A4AA729" w14:textId="77777777" w:rsidR="00166980" w:rsidRPr="00166980" w:rsidRDefault="00166980" w:rsidP="00166980">
            <w:pPr>
              <w:rPr>
                <w:b/>
              </w:rPr>
            </w:pPr>
          </w:p>
        </w:tc>
      </w:tr>
      <w:tr w:rsidR="00166980" w14:paraId="0DDB5018" w14:textId="77777777" w:rsidTr="00166980">
        <w:trPr>
          <w:trHeight w:val="424"/>
        </w:trPr>
        <w:tc>
          <w:tcPr>
            <w:tcW w:w="10485" w:type="dxa"/>
            <w:gridSpan w:val="10"/>
            <w:vAlign w:val="center"/>
          </w:tcPr>
          <w:p w14:paraId="4CE7EBC3" w14:textId="77777777" w:rsidR="00166980" w:rsidRPr="00166980" w:rsidRDefault="00166980" w:rsidP="00166980">
            <w:pPr>
              <w:jc w:val="center"/>
              <w:rPr>
                <w:b/>
                <w:u w:val="single"/>
              </w:rPr>
            </w:pPr>
            <w:r w:rsidRPr="00166980">
              <w:rPr>
                <w:b/>
                <w:u w:val="single"/>
              </w:rPr>
              <w:t>Key Focus for Unit:</w:t>
            </w:r>
          </w:p>
          <w:p w14:paraId="784C7CEA" w14:textId="77777777" w:rsidR="00A46B26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 xml:space="preserve">What is the key knowledge being delivered? </w:t>
            </w:r>
          </w:p>
          <w:p w14:paraId="29611E7C" w14:textId="77777777" w:rsidR="00166980" w:rsidRPr="007B5DCF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>What is the intent of this unit?</w:t>
            </w:r>
          </w:p>
        </w:tc>
      </w:tr>
      <w:tr w:rsidR="00166980" w14:paraId="5C8B9480" w14:textId="77777777" w:rsidTr="00166980">
        <w:trPr>
          <w:trHeight w:val="1256"/>
        </w:trPr>
        <w:tc>
          <w:tcPr>
            <w:tcW w:w="10485" w:type="dxa"/>
            <w:gridSpan w:val="10"/>
            <w:vAlign w:val="center"/>
          </w:tcPr>
          <w:p w14:paraId="319C626A" w14:textId="77777777" w:rsidR="00166980" w:rsidRDefault="00166980" w:rsidP="00166980"/>
          <w:p w14:paraId="5778511A" w14:textId="1D0CB28F" w:rsidR="00A46B26" w:rsidRDefault="00EC0572" w:rsidP="00EC0572">
            <w:r>
              <w:t xml:space="preserve">This unit is an exciting </w:t>
            </w:r>
            <w:r w:rsidR="00EE09B1">
              <w:t xml:space="preserve">introduction to the idea of genre and convention, through extracts from gothic texts including ‘The Monkey’s Paw’, ‘Dracula’, and ‘Great Expectations’. </w:t>
            </w:r>
          </w:p>
          <w:p w14:paraId="103680E3" w14:textId="15FB3758" w:rsidR="00EC0572" w:rsidRDefault="00EC0572" w:rsidP="00EC0572"/>
          <w:p w14:paraId="6186EB41" w14:textId="09634CD7" w:rsidR="00EC0572" w:rsidRDefault="00EC0572" w:rsidP="00EC0572">
            <w:r>
              <w:t xml:space="preserve">The unit has three key aims: </w:t>
            </w:r>
          </w:p>
          <w:p w14:paraId="3615CED0" w14:textId="628F19D2" w:rsidR="00E23455" w:rsidRDefault="00EC0572" w:rsidP="00EC0572">
            <w:pPr>
              <w:pStyle w:val="ListParagraph"/>
              <w:numPr>
                <w:ilvl w:val="0"/>
                <w:numId w:val="2"/>
              </w:numPr>
            </w:pPr>
            <w:r>
              <w:t>To introduce students</w:t>
            </w:r>
            <w:r w:rsidR="00E23455">
              <w:t xml:space="preserve"> to creative writing</w:t>
            </w:r>
            <w:r>
              <w:t xml:space="preserve"> </w:t>
            </w:r>
            <w:r w:rsidR="00EE09B1">
              <w:t>and crafting their own story.</w:t>
            </w:r>
          </w:p>
          <w:p w14:paraId="181FF7A0" w14:textId="3A9BD49F" w:rsidR="00EC0572" w:rsidRDefault="00EE09B1" w:rsidP="00EC0572">
            <w:pPr>
              <w:pStyle w:val="ListParagraph"/>
              <w:numPr>
                <w:ilvl w:val="0"/>
                <w:numId w:val="2"/>
              </w:numPr>
            </w:pPr>
            <w:r>
              <w:t xml:space="preserve">To provide students with a strong knowledge of gothic tropes. </w:t>
            </w:r>
          </w:p>
          <w:p w14:paraId="0DB10EA5" w14:textId="3CC06A45" w:rsidR="00A46B26" w:rsidRDefault="00EC0572" w:rsidP="00EE09B1">
            <w:pPr>
              <w:pStyle w:val="ListParagraph"/>
              <w:numPr>
                <w:ilvl w:val="0"/>
                <w:numId w:val="2"/>
              </w:numPr>
            </w:pPr>
            <w:r>
              <w:t xml:space="preserve">To </w:t>
            </w:r>
            <w:r w:rsidR="0014004D">
              <w:t xml:space="preserve">assess and bridge the gap between primary school and Year 7 by </w:t>
            </w:r>
            <w:r w:rsidR="00EE09B1">
              <w:t>build</w:t>
            </w:r>
            <w:r w:rsidR="0014004D">
              <w:t>ing</w:t>
            </w:r>
            <w:r w:rsidR="00EE09B1">
              <w:t xml:space="preserve"> </w:t>
            </w:r>
            <w:r w:rsidR="0014004D">
              <w:t xml:space="preserve">on student’s prior </w:t>
            </w:r>
            <w:r w:rsidR="00EE09B1">
              <w:t>writing skills</w:t>
            </w:r>
            <w:r w:rsidR="0014004D">
              <w:t>.</w:t>
            </w:r>
          </w:p>
        </w:tc>
      </w:tr>
      <w:tr w:rsidR="00A46B26" w14:paraId="623D560E" w14:textId="77777777" w:rsidTr="00A46B26">
        <w:trPr>
          <w:trHeight w:val="441"/>
        </w:trPr>
        <w:tc>
          <w:tcPr>
            <w:tcW w:w="10485" w:type="dxa"/>
            <w:gridSpan w:val="10"/>
            <w:vAlign w:val="center"/>
          </w:tcPr>
          <w:p w14:paraId="71CCD40E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Knowledge and Big Ideas:</w:t>
            </w:r>
          </w:p>
          <w:p w14:paraId="59F009F5" w14:textId="77777777" w:rsidR="00A46B26" w:rsidRDefault="00A46B26" w:rsidP="00A46B26">
            <w:pPr>
              <w:jc w:val="center"/>
              <w:rPr>
                <w:i/>
              </w:rPr>
            </w:pPr>
            <w:r>
              <w:rPr>
                <w:i/>
              </w:rPr>
              <w:t xml:space="preserve"> What </w:t>
            </w:r>
            <w:r w:rsidRPr="006D174A">
              <w:rPr>
                <w:b/>
                <w:bCs/>
                <w:i/>
              </w:rPr>
              <w:t>Powerful Knowledge</w:t>
            </w:r>
            <w:r>
              <w:rPr>
                <w:i/>
              </w:rPr>
              <w:t xml:space="preserve"> and </w:t>
            </w:r>
            <w:r w:rsidRPr="006D174A">
              <w:rPr>
                <w:b/>
                <w:bCs/>
                <w:i/>
              </w:rPr>
              <w:t>Big Ideas</w:t>
            </w:r>
            <w:r>
              <w:rPr>
                <w:i/>
              </w:rPr>
              <w:t xml:space="preserve"> are</w:t>
            </w:r>
            <w:r w:rsidRPr="00A46B26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A46B26">
              <w:rPr>
                <w:i/>
              </w:rPr>
              <w:t>xplore</w:t>
            </w:r>
            <w:r>
              <w:rPr>
                <w:i/>
              </w:rPr>
              <w:t>d</w:t>
            </w:r>
            <w:r w:rsidRPr="00A46B26">
              <w:rPr>
                <w:i/>
              </w:rPr>
              <w:t xml:space="preserve"> in this Unit? </w:t>
            </w:r>
          </w:p>
          <w:p w14:paraId="68BAD2FE" w14:textId="7704BC34" w:rsidR="00A46B26" w:rsidRPr="00A46B26" w:rsidRDefault="00A46B26" w:rsidP="00A46B26">
            <w:pPr>
              <w:jc w:val="center"/>
              <w:rPr>
                <w:i/>
              </w:rPr>
            </w:pPr>
            <w:r w:rsidRPr="00A46B26">
              <w:rPr>
                <w:i/>
              </w:rPr>
              <w:t>How have these progressed from previous learning?</w:t>
            </w:r>
            <w:r w:rsidR="00501DFE">
              <w:rPr>
                <w:i/>
              </w:rPr>
              <w:t xml:space="preserve"> What </w:t>
            </w:r>
            <w:r w:rsidR="00501DFE" w:rsidRPr="006D174A">
              <w:rPr>
                <w:b/>
                <w:bCs/>
                <w:i/>
              </w:rPr>
              <w:t>gaps in knowledge</w:t>
            </w:r>
            <w:r w:rsidR="00501DFE">
              <w:rPr>
                <w:i/>
              </w:rPr>
              <w:t xml:space="preserve"> have you identified from </w:t>
            </w:r>
            <w:r w:rsidR="00501DFE" w:rsidRPr="006D174A">
              <w:rPr>
                <w:b/>
                <w:bCs/>
                <w:i/>
              </w:rPr>
              <w:t xml:space="preserve">baselining </w:t>
            </w:r>
            <w:r w:rsidR="00501DFE">
              <w:rPr>
                <w:i/>
              </w:rPr>
              <w:t>and how are the being closed?</w:t>
            </w:r>
          </w:p>
        </w:tc>
      </w:tr>
      <w:tr w:rsidR="00A46B26" w14:paraId="3C33E224" w14:textId="77777777" w:rsidTr="00166980">
        <w:trPr>
          <w:trHeight w:val="1256"/>
        </w:trPr>
        <w:tc>
          <w:tcPr>
            <w:tcW w:w="10485" w:type="dxa"/>
            <w:gridSpan w:val="10"/>
            <w:vAlign w:val="center"/>
          </w:tcPr>
          <w:p w14:paraId="661B339F" w14:textId="77777777" w:rsidR="00A46B26" w:rsidRDefault="00A46B26" w:rsidP="00166980"/>
          <w:p w14:paraId="3806D405" w14:textId="3D016252" w:rsidR="00A46B26" w:rsidRDefault="00EC0572" w:rsidP="00166980">
            <w:r w:rsidRPr="00EC0572">
              <w:rPr>
                <w:b/>
              </w:rPr>
              <w:t>Big Ideas:</w:t>
            </w:r>
            <w:r>
              <w:t xml:space="preserve"> </w:t>
            </w:r>
            <w:r w:rsidR="00460B71">
              <w:t xml:space="preserve">Power, Conflict and Morality </w:t>
            </w:r>
          </w:p>
          <w:p w14:paraId="4DEA3340" w14:textId="2EAAA2A7" w:rsidR="002B0501" w:rsidRDefault="00D31213" w:rsidP="00C66507">
            <w:pPr>
              <w:pStyle w:val="ListParagraph"/>
              <w:numPr>
                <w:ilvl w:val="0"/>
                <w:numId w:val="9"/>
              </w:numPr>
            </w:pPr>
            <w:r>
              <w:t>What does each short story tell us about power and st</w:t>
            </w:r>
            <w:r w:rsidR="003057B2">
              <w:t xml:space="preserve">atus? </w:t>
            </w:r>
          </w:p>
          <w:p w14:paraId="3804D749" w14:textId="3BBA4028" w:rsidR="003057B2" w:rsidRDefault="003057B2" w:rsidP="0014004D">
            <w:pPr>
              <w:pStyle w:val="ListParagraph"/>
              <w:numPr>
                <w:ilvl w:val="0"/>
                <w:numId w:val="9"/>
              </w:numPr>
            </w:pPr>
            <w:r>
              <w:t>How does the conflict between natural and supernatural reflect the nineteenth concerns about morality and the Other?</w:t>
            </w:r>
          </w:p>
          <w:p w14:paraId="0FF59E96" w14:textId="77777777" w:rsidR="003057B2" w:rsidRDefault="003057B2" w:rsidP="003057B2">
            <w:pPr>
              <w:pStyle w:val="ListParagraph"/>
            </w:pPr>
          </w:p>
          <w:p w14:paraId="2175F7E6" w14:textId="3E2C8D6F" w:rsidR="00365ACC" w:rsidRDefault="00365ACC" w:rsidP="00365ACC">
            <w:pPr>
              <w:rPr>
                <w:b/>
              </w:rPr>
            </w:pPr>
            <w:r w:rsidRPr="00365ACC">
              <w:rPr>
                <w:b/>
              </w:rPr>
              <w:t>Literary Convention Knowledge</w:t>
            </w:r>
            <w:r>
              <w:rPr>
                <w:b/>
              </w:rPr>
              <w:t xml:space="preserve">: </w:t>
            </w:r>
          </w:p>
          <w:p w14:paraId="4E3AB9CF" w14:textId="19600D2A" w:rsidR="00365ACC" w:rsidRPr="00460B71" w:rsidRDefault="00365ACC" w:rsidP="00365AC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Students will be </w:t>
            </w:r>
            <w:r w:rsidR="00460B71">
              <w:t>introduced to the conventions of gothic genre, including gothic setting</w:t>
            </w:r>
            <w:r w:rsidR="002B0501">
              <w:t>,</w:t>
            </w:r>
            <w:r w:rsidR="00460B71">
              <w:t xml:space="preserve"> themes, character</w:t>
            </w:r>
            <w:r w:rsidR="002B0501">
              <w:t>isation</w:t>
            </w:r>
            <w:r w:rsidR="00460B71">
              <w:t xml:space="preserve"> and weather. </w:t>
            </w:r>
            <w:r w:rsidR="002B0501">
              <w:t xml:space="preserve">This will enable students to replicate the gothic style in their own creative writing. </w:t>
            </w:r>
          </w:p>
          <w:p w14:paraId="03DB07B5" w14:textId="77777777" w:rsidR="00460B71" w:rsidRPr="00460B71" w:rsidRDefault="00460B71" w:rsidP="00365AC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Students will understand gothic tropes and imagery, such as the supernatural, family curses, mystery and madness. </w:t>
            </w:r>
          </w:p>
          <w:p w14:paraId="48159098" w14:textId="15E0869C" w:rsidR="00460B71" w:rsidRDefault="00460B71" w:rsidP="00460B71">
            <w:pPr>
              <w:pStyle w:val="ListParagraph"/>
              <w:numPr>
                <w:ilvl w:val="0"/>
                <w:numId w:val="6"/>
              </w:numPr>
            </w:pPr>
            <w:r>
              <w:t xml:space="preserve">Students will learn how to create and structure tension, and how to create mystery and intrigue using language techniques and style of writing. </w:t>
            </w:r>
          </w:p>
          <w:p w14:paraId="6198BA34" w14:textId="35ABC7C1" w:rsidR="002B0501" w:rsidRDefault="002B0501" w:rsidP="00460B71">
            <w:pPr>
              <w:pStyle w:val="ListParagraph"/>
              <w:numPr>
                <w:ilvl w:val="0"/>
                <w:numId w:val="6"/>
              </w:numPr>
            </w:pPr>
            <w:r w:rsidRPr="002B0501">
              <w:t>Students will revise the fundamentals of spelling, accuracy and grammar at base sentence level and paragraph structure.</w:t>
            </w:r>
          </w:p>
          <w:p w14:paraId="4B107212" w14:textId="6A1A6D6A" w:rsidR="00365ACC" w:rsidRDefault="00365ACC" w:rsidP="00365ACC"/>
          <w:p w14:paraId="12E46EAD" w14:textId="46563FCC" w:rsidR="00365ACC" w:rsidRPr="00365ACC" w:rsidRDefault="00365ACC" w:rsidP="00365ACC">
            <w:pPr>
              <w:rPr>
                <w:b/>
              </w:rPr>
            </w:pPr>
            <w:r w:rsidRPr="00365ACC">
              <w:rPr>
                <w:b/>
              </w:rPr>
              <w:t xml:space="preserve">Contextual Knowledge: </w:t>
            </w:r>
          </w:p>
          <w:p w14:paraId="063F0F20" w14:textId="1234C171" w:rsidR="00A46B26" w:rsidRDefault="00E406FE" w:rsidP="00E406FE">
            <w:r>
              <w:t xml:space="preserve">Students will be introduced to nineteenth century social attitudes to do with class, status and morality. </w:t>
            </w:r>
          </w:p>
        </w:tc>
      </w:tr>
      <w:tr w:rsidR="007B5DCF" w14:paraId="69923A53" w14:textId="77777777" w:rsidTr="007B5DCF">
        <w:tc>
          <w:tcPr>
            <w:tcW w:w="10485" w:type="dxa"/>
            <w:gridSpan w:val="10"/>
            <w:vAlign w:val="center"/>
          </w:tcPr>
          <w:p w14:paraId="2D775CAA" w14:textId="77777777" w:rsidR="007B5DCF" w:rsidRPr="00166980" w:rsidRDefault="007B5DCF" w:rsidP="007B5D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Assessment</w:t>
            </w:r>
            <w:r w:rsidRPr="00166980">
              <w:rPr>
                <w:b/>
                <w:u w:val="single"/>
              </w:rPr>
              <w:t>:</w:t>
            </w:r>
          </w:p>
          <w:p w14:paraId="572ABA93" w14:textId="77777777" w:rsidR="00A46B26" w:rsidRDefault="007B5DCF" w:rsidP="007B5DCF">
            <w:pPr>
              <w:jc w:val="center"/>
              <w:rPr>
                <w:i/>
              </w:rPr>
            </w:pPr>
            <w:r>
              <w:rPr>
                <w:i/>
              </w:rPr>
              <w:t>How will this unit be assessed</w:t>
            </w:r>
            <w:r w:rsidRPr="007B5DCF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p w14:paraId="1D448AEC" w14:textId="77777777" w:rsidR="007B5DCF" w:rsidRDefault="007B5DCF" w:rsidP="007B5DCF">
            <w:pPr>
              <w:jc w:val="center"/>
            </w:pPr>
            <w:r>
              <w:rPr>
                <w:i/>
              </w:rPr>
              <w:t>What is the frequency of assessments – baselines etc?</w:t>
            </w:r>
          </w:p>
        </w:tc>
      </w:tr>
      <w:tr w:rsidR="00A46B26" w14:paraId="1071D02F" w14:textId="77777777" w:rsidTr="008F6CD1">
        <w:tc>
          <w:tcPr>
            <w:tcW w:w="10485" w:type="dxa"/>
            <w:gridSpan w:val="10"/>
            <w:vAlign w:val="center"/>
          </w:tcPr>
          <w:p w14:paraId="29D48401" w14:textId="77777777" w:rsidR="00A46B26" w:rsidRDefault="00A46B26" w:rsidP="00166980"/>
          <w:p w14:paraId="241BC909" w14:textId="42AC214C" w:rsidR="00365ACC" w:rsidRDefault="00EE09B1" w:rsidP="00166980">
            <w:r w:rsidRPr="00EE09B1">
              <w:t xml:space="preserve">Students will write their own </w:t>
            </w:r>
            <w:r>
              <w:t>piece of creative writing</w:t>
            </w:r>
            <w:r w:rsidRPr="00EE09B1">
              <w:t>, using the conventions and features of the gothic that they have learnt from studying the extracts.</w:t>
            </w:r>
          </w:p>
          <w:p w14:paraId="3F9C46BD" w14:textId="77777777" w:rsidR="00EE09B1" w:rsidRDefault="00EE09B1" w:rsidP="00166980"/>
          <w:p w14:paraId="5C2CFC6F" w14:textId="65FC54A5" w:rsidR="00365ACC" w:rsidRDefault="00365ACC" w:rsidP="00166980">
            <w:r>
              <w:t xml:space="preserve">Students will be assessed on the following criteria: </w:t>
            </w:r>
          </w:p>
          <w:p w14:paraId="1C483501" w14:textId="729D8D5F" w:rsidR="00365ACC" w:rsidRDefault="00C66507" w:rsidP="00365ACC">
            <w:pPr>
              <w:pStyle w:val="ListParagraph"/>
              <w:numPr>
                <w:ilvl w:val="0"/>
                <w:numId w:val="8"/>
              </w:numPr>
            </w:pPr>
            <w:r>
              <w:t xml:space="preserve">Ambitious vocabulary </w:t>
            </w:r>
          </w:p>
          <w:p w14:paraId="592465C3" w14:textId="5B25B028" w:rsidR="00C66507" w:rsidRDefault="00C66507" w:rsidP="00365ACC">
            <w:pPr>
              <w:pStyle w:val="ListParagraph"/>
              <w:numPr>
                <w:ilvl w:val="0"/>
                <w:numId w:val="8"/>
              </w:numPr>
            </w:pPr>
            <w:r>
              <w:t>Writing techniques</w:t>
            </w:r>
          </w:p>
          <w:p w14:paraId="557C50CE" w14:textId="2ED56083" w:rsidR="00C66507" w:rsidRDefault="00C66507" w:rsidP="00365ACC">
            <w:pPr>
              <w:pStyle w:val="ListParagraph"/>
              <w:numPr>
                <w:ilvl w:val="0"/>
                <w:numId w:val="8"/>
              </w:numPr>
            </w:pPr>
            <w:r>
              <w:t xml:space="preserve">Features of gothic writing </w:t>
            </w:r>
          </w:p>
          <w:p w14:paraId="6E9A757D" w14:textId="15A32A76" w:rsidR="00C66507" w:rsidRDefault="00C66507" w:rsidP="00C66507">
            <w:pPr>
              <w:pStyle w:val="ListParagraph"/>
              <w:numPr>
                <w:ilvl w:val="0"/>
                <w:numId w:val="8"/>
              </w:numPr>
            </w:pPr>
            <w:r>
              <w:t>Spelling</w:t>
            </w:r>
          </w:p>
          <w:p w14:paraId="2FA0AA57" w14:textId="4CD8DA82" w:rsidR="00C66507" w:rsidRDefault="00C66507" w:rsidP="00C66507">
            <w:pPr>
              <w:pStyle w:val="ListParagraph"/>
              <w:numPr>
                <w:ilvl w:val="0"/>
                <w:numId w:val="8"/>
              </w:numPr>
            </w:pPr>
            <w:r>
              <w:t xml:space="preserve">Punctuation </w:t>
            </w:r>
          </w:p>
          <w:p w14:paraId="43B7F373" w14:textId="1CE0EC7C" w:rsidR="00365ACC" w:rsidRDefault="00C66507" w:rsidP="00166980">
            <w:pPr>
              <w:pStyle w:val="ListParagraph"/>
              <w:numPr>
                <w:ilvl w:val="0"/>
                <w:numId w:val="8"/>
              </w:numPr>
            </w:pPr>
            <w:r>
              <w:t xml:space="preserve">Grammar </w:t>
            </w:r>
          </w:p>
          <w:p w14:paraId="7BDD03FF" w14:textId="77777777" w:rsidR="00C66507" w:rsidRDefault="00C66507" w:rsidP="00C66507">
            <w:pPr>
              <w:pStyle w:val="ListParagraph"/>
            </w:pPr>
          </w:p>
          <w:p w14:paraId="5EA9D6BD" w14:textId="0906F056" w:rsidR="00365ACC" w:rsidRPr="00C66507" w:rsidRDefault="00365ACC" w:rsidP="00C66507">
            <w:r w:rsidRPr="00365ACC">
              <w:rPr>
                <w:b/>
              </w:rPr>
              <w:t xml:space="preserve">Baseline Assessment: </w:t>
            </w:r>
            <w:r w:rsidR="00C66507">
              <w:t xml:space="preserve">Write the next part of the story (‘A Monkey’s Paw’). </w:t>
            </w:r>
          </w:p>
          <w:p w14:paraId="27265AB9" w14:textId="05732CEC" w:rsidR="0081257D" w:rsidRDefault="0081257D" w:rsidP="00166980"/>
          <w:p w14:paraId="3C8D3688" w14:textId="07E903E3" w:rsidR="00A46B26" w:rsidRPr="00C66507" w:rsidRDefault="0081257D" w:rsidP="00C66507">
            <w:r w:rsidRPr="0081257D">
              <w:rPr>
                <w:b/>
              </w:rPr>
              <w:t xml:space="preserve">Final Assessment: </w:t>
            </w:r>
            <w:r w:rsidR="00C66507">
              <w:t xml:space="preserve">Write a story in the gothic genre. </w:t>
            </w:r>
          </w:p>
        </w:tc>
      </w:tr>
      <w:tr w:rsidR="00A46B26" w14:paraId="6909388E" w14:textId="77777777" w:rsidTr="00A46B26">
        <w:tc>
          <w:tcPr>
            <w:tcW w:w="3492" w:type="dxa"/>
            <w:gridSpan w:val="3"/>
            <w:vAlign w:val="center"/>
          </w:tcPr>
          <w:p w14:paraId="794C4734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Skills Explored</w:t>
            </w:r>
          </w:p>
        </w:tc>
        <w:tc>
          <w:tcPr>
            <w:tcW w:w="3495" w:type="dxa"/>
            <w:gridSpan w:val="4"/>
            <w:vAlign w:val="center"/>
          </w:tcPr>
          <w:p w14:paraId="7E549591" w14:textId="77777777" w:rsidR="00A46B26" w:rsidRPr="00A46B26" w:rsidRDefault="00AD595B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 Selected for DVI</w:t>
            </w:r>
          </w:p>
        </w:tc>
        <w:tc>
          <w:tcPr>
            <w:tcW w:w="3498" w:type="dxa"/>
            <w:gridSpan w:val="3"/>
            <w:vAlign w:val="center"/>
          </w:tcPr>
          <w:p w14:paraId="0DFAC94D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Previous Unit</w:t>
            </w:r>
          </w:p>
        </w:tc>
      </w:tr>
      <w:tr w:rsidR="00A46B26" w14:paraId="3EDECF23" w14:textId="77777777" w:rsidTr="00A46B26">
        <w:tc>
          <w:tcPr>
            <w:tcW w:w="3492" w:type="dxa"/>
            <w:gridSpan w:val="3"/>
            <w:vAlign w:val="center"/>
          </w:tcPr>
          <w:p w14:paraId="7CD4484D" w14:textId="77777777" w:rsidR="00A46B26" w:rsidRDefault="00A6288E" w:rsidP="00A46B26">
            <w:r>
              <w:t>Students will be assessed on the following flash codes:</w:t>
            </w:r>
          </w:p>
          <w:p w14:paraId="016D1DF8" w14:textId="23E314AB" w:rsidR="00A6288E" w:rsidRDefault="00B93AFB" w:rsidP="00A46B26">
            <w:r>
              <w:t xml:space="preserve">AV – ambitious vocabulary </w:t>
            </w:r>
          </w:p>
          <w:p w14:paraId="716B91C6" w14:textId="614C2345" w:rsidR="00B93AFB" w:rsidRDefault="00B93AFB" w:rsidP="00A46B26">
            <w:r>
              <w:t>WT – writing technique’s</w:t>
            </w:r>
          </w:p>
          <w:p w14:paraId="59761C1D" w14:textId="24E9AC82" w:rsidR="00B93AFB" w:rsidRDefault="00B93AFB" w:rsidP="00A46B26">
            <w:r>
              <w:t>G – features of gothic writing</w:t>
            </w:r>
          </w:p>
          <w:p w14:paraId="7C075DC5" w14:textId="3F33FAEA" w:rsidR="00B93AFB" w:rsidRDefault="00B93AFB" w:rsidP="00A46B26">
            <w:r>
              <w:t>M/A – language to create a strong atmosphere</w:t>
            </w:r>
          </w:p>
          <w:p w14:paraId="7A7374A4" w14:textId="77777777" w:rsidR="00B93AFB" w:rsidRDefault="00B93AFB" w:rsidP="00A46B26">
            <w:r>
              <w:t>FS – full stops and capital letters</w:t>
            </w:r>
          </w:p>
          <w:p w14:paraId="79B0BC9B" w14:textId="77777777" w:rsidR="00B93AFB" w:rsidRDefault="00B93AFB" w:rsidP="00A46B26"/>
          <w:p w14:paraId="21AECA56" w14:textId="77777777" w:rsidR="00B93AFB" w:rsidRDefault="00B93AFB" w:rsidP="00A46B26"/>
          <w:p w14:paraId="777A69F2" w14:textId="1D182E99" w:rsidR="00B93AFB" w:rsidRDefault="00B93AFB" w:rsidP="00A46B26">
            <w:r>
              <w:t>Student’s writing skills will be developed as they advance their creative writing and SP</w:t>
            </w:r>
            <w:r w:rsidR="00B75DF3">
              <w:t>A</w:t>
            </w:r>
            <w:r>
              <w:t xml:space="preserve">G. </w:t>
            </w:r>
          </w:p>
          <w:p w14:paraId="519C567A" w14:textId="77777777" w:rsidR="00B93AFB" w:rsidRDefault="00B93AFB" w:rsidP="00A46B26"/>
          <w:p w14:paraId="3C2D87C4" w14:textId="77777777" w:rsidR="00B93AFB" w:rsidRDefault="00B93AFB" w:rsidP="00A46B26"/>
          <w:p w14:paraId="54DD594D" w14:textId="77777777" w:rsidR="00B93AFB" w:rsidRDefault="00B93AFB" w:rsidP="00A46B26"/>
          <w:p w14:paraId="0972A49D" w14:textId="77777777" w:rsidR="00B93AFB" w:rsidRDefault="00B93AFB" w:rsidP="00A46B26"/>
          <w:p w14:paraId="3FAC23E7" w14:textId="77777777" w:rsidR="00B93AFB" w:rsidRDefault="00B93AFB" w:rsidP="00A46B26"/>
          <w:p w14:paraId="38BD1264" w14:textId="77777777" w:rsidR="00B93AFB" w:rsidRDefault="00B93AFB" w:rsidP="00A46B26"/>
          <w:p w14:paraId="2410818F" w14:textId="77777777" w:rsidR="00B93AFB" w:rsidRDefault="00B93AFB" w:rsidP="00A46B26"/>
          <w:p w14:paraId="475364FE" w14:textId="77777777" w:rsidR="00B93AFB" w:rsidRDefault="00B93AFB" w:rsidP="00A46B26"/>
          <w:p w14:paraId="394068B5" w14:textId="77777777" w:rsidR="00B93AFB" w:rsidRDefault="00B93AFB" w:rsidP="00A46B26"/>
          <w:p w14:paraId="7E9445EC" w14:textId="77777777" w:rsidR="00B93AFB" w:rsidRDefault="00B93AFB" w:rsidP="00A46B26"/>
          <w:p w14:paraId="7FB7AA3D" w14:textId="77777777" w:rsidR="00B93AFB" w:rsidRDefault="00B93AFB" w:rsidP="00A46B26"/>
          <w:p w14:paraId="711A70C5" w14:textId="77777777" w:rsidR="00B93AFB" w:rsidRDefault="00B93AFB" w:rsidP="00A46B26"/>
          <w:p w14:paraId="27E16586" w14:textId="77777777" w:rsidR="00B93AFB" w:rsidRDefault="00B93AFB" w:rsidP="00A46B26"/>
          <w:p w14:paraId="43A4B3CE" w14:textId="1E651B9F" w:rsidR="00B93AFB" w:rsidRPr="00A6288E" w:rsidRDefault="00B93AFB" w:rsidP="00A46B26"/>
        </w:tc>
        <w:tc>
          <w:tcPr>
            <w:tcW w:w="3495" w:type="dxa"/>
            <w:gridSpan w:val="4"/>
            <w:vAlign w:val="center"/>
          </w:tcPr>
          <w:p w14:paraId="5C949DE9" w14:textId="7F6C72F2" w:rsidR="00A46B26" w:rsidRDefault="0081257D" w:rsidP="008125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Tier 2 </w:t>
            </w:r>
          </w:p>
          <w:p w14:paraId="153D52DE" w14:textId="77777777" w:rsidR="002B0501" w:rsidRDefault="002B0501" w:rsidP="0081257D">
            <w:pPr>
              <w:rPr>
                <w:rFonts w:eastAsia="Calibri" w:cstheme="minorHAnsi"/>
              </w:rPr>
            </w:pPr>
            <w:r w:rsidRPr="00DD3565">
              <w:rPr>
                <w:rFonts w:eastAsia="Calibri" w:cstheme="minorHAnsi"/>
              </w:rPr>
              <w:t>Natura</w:t>
            </w:r>
            <w:r>
              <w:rPr>
                <w:rFonts w:eastAsia="Calibri" w:cstheme="minorHAnsi"/>
              </w:rPr>
              <w:t>l</w:t>
            </w:r>
          </w:p>
          <w:p w14:paraId="367D6E6F" w14:textId="77777777" w:rsidR="002B0501" w:rsidRDefault="002B0501" w:rsidP="0081257D">
            <w:pPr>
              <w:rPr>
                <w:rFonts w:eastAsia="Calibri" w:cstheme="minorHAnsi"/>
              </w:rPr>
            </w:pPr>
            <w:r w:rsidRPr="00DD3565">
              <w:rPr>
                <w:rFonts w:eastAsia="Calibri" w:cstheme="minorHAnsi"/>
              </w:rPr>
              <w:t>Supernatural</w:t>
            </w:r>
          </w:p>
          <w:p w14:paraId="430B6521" w14:textId="77777777" w:rsidR="002B0501" w:rsidRDefault="002B0501" w:rsidP="0081257D">
            <w:pPr>
              <w:rPr>
                <w:rFonts w:eastAsia="Calibri" w:cstheme="minorHAnsi"/>
              </w:rPr>
            </w:pPr>
            <w:r w:rsidRPr="00DD3565">
              <w:rPr>
                <w:rFonts w:eastAsia="Calibri" w:cstheme="minorHAnsi"/>
              </w:rPr>
              <w:t>Sinister</w:t>
            </w:r>
          </w:p>
          <w:p w14:paraId="69A6FFAF" w14:textId="77777777" w:rsidR="002B0501" w:rsidRDefault="002B0501" w:rsidP="0081257D">
            <w:pPr>
              <w:rPr>
                <w:rFonts w:eastAsia="Calibri" w:cstheme="minorHAnsi"/>
              </w:rPr>
            </w:pPr>
            <w:r w:rsidRPr="00DD3565">
              <w:rPr>
                <w:rFonts w:eastAsia="Calibri" w:cstheme="minorHAnsi"/>
              </w:rPr>
              <w:t>Dismal</w:t>
            </w:r>
          </w:p>
          <w:p w14:paraId="154FE0A2" w14:textId="77777777" w:rsidR="002B0501" w:rsidRDefault="002B0501" w:rsidP="0081257D">
            <w:pPr>
              <w:rPr>
                <w:rFonts w:eastAsia="Calibri" w:cstheme="minorHAnsi"/>
              </w:rPr>
            </w:pPr>
            <w:r w:rsidRPr="00DD3565">
              <w:rPr>
                <w:rFonts w:eastAsia="Calibri" w:cstheme="minorHAnsi"/>
              </w:rPr>
              <w:t>Menacing</w:t>
            </w:r>
          </w:p>
          <w:p w14:paraId="2CF8E0E2" w14:textId="77777777" w:rsidR="002B0501" w:rsidRDefault="002B0501" w:rsidP="0081257D">
            <w:pPr>
              <w:rPr>
                <w:rFonts w:eastAsia="Calibri" w:cstheme="minorHAnsi"/>
              </w:rPr>
            </w:pPr>
            <w:r w:rsidRPr="00DD3565">
              <w:rPr>
                <w:rFonts w:eastAsia="Calibri" w:cstheme="minorHAnsi"/>
              </w:rPr>
              <w:t>Weariness</w:t>
            </w:r>
          </w:p>
          <w:p w14:paraId="49C8469B" w14:textId="77777777" w:rsidR="002B0501" w:rsidRDefault="002B0501" w:rsidP="0081257D">
            <w:pPr>
              <w:rPr>
                <w:rFonts w:eastAsia="Calibri" w:cstheme="minorHAnsi"/>
              </w:rPr>
            </w:pPr>
            <w:r w:rsidRPr="00DD3565">
              <w:rPr>
                <w:rFonts w:eastAsia="Calibri" w:cstheme="minorHAnsi"/>
              </w:rPr>
              <w:t>Remarkable</w:t>
            </w:r>
          </w:p>
          <w:p w14:paraId="5CEA52D3" w14:textId="77777777" w:rsidR="002B0501" w:rsidRDefault="002B0501" w:rsidP="0081257D">
            <w:pPr>
              <w:rPr>
                <w:rFonts w:eastAsia="Calibri" w:cstheme="minorHAnsi"/>
              </w:rPr>
            </w:pPr>
            <w:r w:rsidRPr="00DD3565">
              <w:rPr>
                <w:rFonts w:eastAsia="Calibri" w:cstheme="minorHAnsi"/>
              </w:rPr>
              <w:t>Ominous</w:t>
            </w:r>
          </w:p>
          <w:p w14:paraId="4CC8F192" w14:textId="29F82C24" w:rsidR="002B0501" w:rsidRDefault="002B0501" w:rsidP="0081257D">
            <w:pPr>
              <w:rPr>
                <w:rFonts w:eastAsia="Calibri" w:cstheme="minorHAnsi"/>
              </w:rPr>
            </w:pPr>
            <w:r w:rsidRPr="00DD3565">
              <w:rPr>
                <w:rFonts w:eastAsia="Calibri" w:cstheme="minorHAnsi"/>
              </w:rPr>
              <w:t>Bleak</w:t>
            </w:r>
          </w:p>
          <w:p w14:paraId="7F5CE633" w14:textId="77777777" w:rsidR="002B0501" w:rsidRDefault="002B0501" w:rsidP="0081257D">
            <w:pPr>
              <w:rPr>
                <w:rFonts w:eastAsia="Calibri" w:cstheme="minorHAnsi"/>
              </w:rPr>
            </w:pPr>
            <w:r w:rsidRPr="00DD3565">
              <w:rPr>
                <w:rFonts w:eastAsia="Calibri" w:cstheme="minorHAnsi"/>
              </w:rPr>
              <w:t>Mood</w:t>
            </w:r>
          </w:p>
          <w:p w14:paraId="2E721035" w14:textId="6D8C028D" w:rsidR="003057B2" w:rsidRDefault="002B0501" w:rsidP="0081257D">
            <w:pPr>
              <w:rPr>
                <w:b/>
                <w:u w:val="single"/>
              </w:rPr>
            </w:pPr>
            <w:r>
              <w:rPr>
                <w:rFonts w:eastAsia="Calibri" w:cstheme="minorHAnsi"/>
              </w:rPr>
              <w:t>Status</w:t>
            </w:r>
            <w:r>
              <w:rPr>
                <w:b/>
                <w:u w:val="single"/>
              </w:rPr>
              <w:t xml:space="preserve"> </w:t>
            </w:r>
          </w:p>
          <w:p w14:paraId="22EB829E" w14:textId="77777777" w:rsidR="002B0501" w:rsidRDefault="002B0501" w:rsidP="0081257D">
            <w:pPr>
              <w:rPr>
                <w:b/>
                <w:u w:val="single"/>
              </w:rPr>
            </w:pPr>
          </w:p>
          <w:p w14:paraId="1E73354E" w14:textId="292A8455" w:rsidR="0081257D" w:rsidRDefault="0081257D" w:rsidP="008125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Tier 3 </w:t>
            </w:r>
          </w:p>
          <w:p w14:paraId="3D031440" w14:textId="77777777" w:rsidR="002B0501" w:rsidRDefault="002B0501" w:rsidP="0081257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Genre</w:t>
            </w:r>
          </w:p>
          <w:p w14:paraId="29F24BA6" w14:textId="77777777" w:rsidR="002B0501" w:rsidRDefault="002B0501" w:rsidP="0081257D">
            <w:pPr>
              <w:rPr>
                <w:rFonts w:eastAsia="Calibri" w:cstheme="minorHAnsi"/>
              </w:rPr>
            </w:pPr>
            <w:r w:rsidRPr="00DD3565">
              <w:rPr>
                <w:rFonts w:eastAsia="Calibri" w:cstheme="minorHAnsi"/>
              </w:rPr>
              <w:t>Explicit</w:t>
            </w:r>
          </w:p>
          <w:p w14:paraId="25F76EB7" w14:textId="77777777" w:rsidR="002B0501" w:rsidRDefault="002B0501" w:rsidP="0081257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</w:t>
            </w:r>
            <w:r w:rsidRPr="00DD3565">
              <w:rPr>
                <w:rFonts w:eastAsia="Calibri" w:cstheme="minorHAnsi"/>
              </w:rPr>
              <w:t>mplicit</w:t>
            </w:r>
          </w:p>
          <w:p w14:paraId="32032FAF" w14:textId="77777777" w:rsidR="002B0501" w:rsidRDefault="002B0501" w:rsidP="0081257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</w:t>
            </w:r>
            <w:r w:rsidRPr="00DD3565">
              <w:rPr>
                <w:rFonts w:eastAsia="Calibri" w:cstheme="minorHAnsi"/>
              </w:rPr>
              <w:t>etaphor</w:t>
            </w:r>
          </w:p>
          <w:p w14:paraId="2746C7F5" w14:textId="77777777" w:rsidR="002B0501" w:rsidRDefault="002B0501" w:rsidP="0081257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DD3565">
              <w:rPr>
                <w:rFonts w:eastAsia="Calibri" w:cstheme="minorHAnsi"/>
              </w:rPr>
              <w:t>imile</w:t>
            </w:r>
          </w:p>
          <w:p w14:paraId="4D7A5D33" w14:textId="77777777" w:rsidR="002B0501" w:rsidRDefault="002B0501" w:rsidP="0081257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</w:t>
            </w:r>
            <w:r w:rsidRPr="00DD3565">
              <w:rPr>
                <w:rFonts w:eastAsia="Calibri" w:cstheme="minorHAnsi"/>
              </w:rPr>
              <w:t>mplied</w:t>
            </w:r>
          </w:p>
          <w:p w14:paraId="3ED6E0FE" w14:textId="77777777" w:rsidR="002B0501" w:rsidRDefault="002B0501" w:rsidP="0081257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Gothic tropes</w:t>
            </w:r>
          </w:p>
          <w:p w14:paraId="4DF84118" w14:textId="77777777" w:rsidR="002B0501" w:rsidRDefault="002B0501" w:rsidP="0081257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Pathetic fallacy</w:t>
            </w:r>
          </w:p>
          <w:p w14:paraId="419DDF7A" w14:textId="77777777" w:rsidR="002B0501" w:rsidRDefault="002B0501" w:rsidP="0081257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Tone</w:t>
            </w:r>
          </w:p>
          <w:p w14:paraId="61F6C2A0" w14:textId="77777777" w:rsidR="0081257D" w:rsidRDefault="002B0501" w:rsidP="0081257D">
            <w:r>
              <w:rPr>
                <w:rFonts w:eastAsia="Calibri" w:cstheme="minorHAnsi"/>
              </w:rPr>
              <w:t>Imagery</w:t>
            </w:r>
            <w:r w:rsidR="0081257D">
              <w:t xml:space="preserve"> </w:t>
            </w:r>
          </w:p>
          <w:p w14:paraId="2092CD17" w14:textId="4E318857" w:rsidR="003057B2" w:rsidRPr="0081257D" w:rsidRDefault="003057B2" w:rsidP="0081257D">
            <w:r>
              <w:t>Otherness</w:t>
            </w:r>
          </w:p>
        </w:tc>
        <w:tc>
          <w:tcPr>
            <w:tcW w:w="3498" w:type="dxa"/>
            <w:gridSpan w:val="3"/>
            <w:vAlign w:val="center"/>
          </w:tcPr>
          <w:p w14:paraId="7F7B5983" w14:textId="77777777" w:rsidR="00C66507" w:rsidRDefault="000218FA" w:rsidP="00C66507">
            <w:r>
              <w:t xml:space="preserve">Pupils will have explored </w:t>
            </w:r>
            <w:r w:rsidR="00EC68CB">
              <w:t xml:space="preserve">writing techniques and creative writing in primary school. This unit plans to consolidate and add to this knowledge. </w:t>
            </w:r>
          </w:p>
          <w:p w14:paraId="5F1D489C" w14:textId="77777777" w:rsidR="00EC68CB" w:rsidRDefault="00EC68CB" w:rsidP="00C66507"/>
          <w:p w14:paraId="5ED6CD0F" w14:textId="77777777" w:rsidR="00EC68CB" w:rsidRDefault="00EC68CB" w:rsidP="00C66507"/>
          <w:p w14:paraId="2DAB8E1D" w14:textId="77777777" w:rsidR="00EC68CB" w:rsidRDefault="00EC68CB" w:rsidP="00C66507"/>
          <w:p w14:paraId="70D678FF" w14:textId="77777777" w:rsidR="00EC68CB" w:rsidRDefault="00EC68CB" w:rsidP="00C66507"/>
          <w:p w14:paraId="0B9A38F2" w14:textId="77777777" w:rsidR="00EC68CB" w:rsidRDefault="00EC68CB" w:rsidP="00C66507"/>
          <w:p w14:paraId="000EC03A" w14:textId="77777777" w:rsidR="00EC68CB" w:rsidRDefault="00EC68CB" w:rsidP="00C66507"/>
          <w:p w14:paraId="500DC9C5" w14:textId="77777777" w:rsidR="00EC68CB" w:rsidRDefault="00EC68CB" w:rsidP="00C66507"/>
          <w:p w14:paraId="45569E7C" w14:textId="77777777" w:rsidR="00EC68CB" w:rsidRDefault="00EC68CB" w:rsidP="00C66507"/>
          <w:p w14:paraId="65289F0D" w14:textId="77777777" w:rsidR="00EC68CB" w:rsidRDefault="00EC68CB" w:rsidP="00C66507"/>
          <w:p w14:paraId="2D79D454" w14:textId="77777777" w:rsidR="00EC68CB" w:rsidRDefault="00EC68CB" w:rsidP="00C66507"/>
          <w:p w14:paraId="0CD5D0B7" w14:textId="77777777" w:rsidR="00EC68CB" w:rsidRDefault="00EC68CB" w:rsidP="00C66507"/>
          <w:p w14:paraId="0DB205F4" w14:textId="77777777" w:rsidR="00EC68CB" w:rsidRDefault="00EC68CB" w:rsidP="00C66507"/>
          <w:p w14:paraId="352FCC74" w14:textId="77777777" w:rsidR="00EC68CB" w:rsidRDefault="00EC68CB" w:rsidP="00C66507"/>
          <w:p w14:paraId="31EDB70A" w14:textId="77777777" w:rsidR="00EC68CB" w:rsidRDefault="00EC68CB" w:rsidP="00C66507"/>
          <w:p w14:paraId="4BF37715" w14:textId="77777777" w:rsidR="00EC68CB" w:rsidRDefault="00EC68CB" w:rsidP="00C66507"/>
          <w:p w14:paraId="7BAA79B1" w14:textId="77777777" w:rsidR="00EC68CB" w:rsidRDefault="00EC68CB" w:rsidP="00C66507"/>
          <w:p w14:paraId="119F14D6" w14:textId="77777777" w:rsidR="00EC68CB" w:rsidRDefault="00EC68CB" w:rsidP="00C66507"/>
          <w:p w14:paraId="5646B83A" w14:textId="77777777" w:rsidR="00EC68CB" w:rsidRDefault="00EC68CB" w:rsidP="00C66507"/>
          <w:p w14:paraId="6064703D" w14:textId="77777777" w:rsidR="00EC68CB" w:rsidRDefault="00EC68CB" w:rsidP="00C66507"/>
          <w:p w14:paraId="1AF3CB8E" w14:textId="77777777" w:rsidR="00EC68CB" w:rsidRDefault="00EC68CB" w:rsidP="00C66507"/>
          <w:p w14:paraId="1E293B85" w14:textId="77777777" w:rsidR="00EC68CB" w:rsidRDefault="00EC68CB" w:rsidP="00C66507"/>
          <w:p w14:paraId="3AD2AA5F" w14:textId="15D4C228" w:rsidR="00EC68CB" w:rsidRPr="00C66507" w:rsidRDefault="00EC68CB" w:rsidP="00C66507"/>
        </w:tc>
      </w:tr>
      <w:tr w:rsidR="00A46B26" w14:paraId="1E113C6C" w14:textId="77777777" w:rsidTr="00A46B26">
        <w:tc>
          <w:tcPr>
            <w:tcW w:w="3492" w:type="dxa"/>
            <w:gridSpan w:val="3"/>
            <w:vAlign w:val="center"/>
          </w:tcPr>
          <w:p w14:paraId="04BD3647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Careers/Employability</w:t>
            </w:r>
          </w:p>
        </w:tc>
        <w:tc>
          <w:tcPr>
            <w:tcW w:w="6993" w:type="dxa"/>
            <w:gridSpan w:val="7"/>
            <w:vAlign w:val="center"/>
          </w:tcPr>
          <w:p w14:paraId="69D7FCFC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does this unit prepare students for the next unit?</w:t>
            </w:r>
          </w:p>
        </w:tc>
      </w:tr>
      <w:tr w:rsidR="00A46B26" w14:paraId="7DA832C4" w14:textId="77777777" w:rsidTr="00A46B26">
        <w:trPr>
          <w:trHeight w:val="1153"/>
        </w:trPr>
        <w:tc>
          <w:tcPr>
            <w:tcW w:w="3492" w:type="dxa"/>
            <w:gridSpan w:val="3"/>
            <w:vAlign w:val="center"/>
          </w:tcPr>
          <w:p w14:paraId="31729858" w14:textId="77777777" w:rsidR="005B4829" w:rsidRDefault="00B75DF3" w:rsidP="005B4829">
            <w:pPr>
              <w:pStyle w:val="ListParagraph"/>
              <w:numPr>
                <w:ilvl w:val="0"/>
                <w:numId w:val="10"/>
              </w:numPr>
            </w:pPr>
            <w:r>
              <w:t>Students develop their formal writing style.</w:t>
            </w:r>
          </w:p>
          <w:p w14:paraId="67C9A1D4" w14:textId="206DDAE0" w:rsidR="005B4829" w:rsidRPr="00170E8C" w:rsidRDefault="005B4829" w:rsidP="005B4829">
            <w:pPr>
              <w:pStyle w:val="ListParagraph"/>
              <w:numPr>
                <w:ilvl w:val="0"/>
                <w:numId w:val="10"/>
              </w:numPr>
            </w:pPr>
            <w:r w:rsidRPr="00170E8C">
              <w:t>SPAG – accurate spelling, punctuation and grammar</w:t>
            </w:r>
          </w:p>
          <w:p w14:paraId="6791D03F" w14:textId="77777777" w:rsidR="005B4829" w:rsidRDefault="005B4829" w:rsidP="005B4829"/>
          <w:p w14:paraId="569632D5" w14:textId="144B4110" w:rsidR="00A46B26" w:rsidRDefault="00A46B26" w:rsidP="00B75DF3">
            <w:pPr>
              <w:ind w:left="360"/>
              <w:rPr>
                <w:b/>
                <w:u w:val="single"/>
              </w:rPr>
            </w:pPr>
          </w:p>
          <w:p w14:paraId="260BB52B" w14:textId="2A31E87F" w:rsidR="005B4829" w:rsidRDefault="005B4829" w:rsidP="00B75DF3">
            <w:pPr>
              <w:ind w:left="360"/>
              <w:rPr>
                <w:b/>
                <w:u w:val="single"/>
              </w:rPr>
            </w:pPr>
          </w:p>
          <w:p w14:paraId="57B11A9D" w14:textId="4056E801" w:rsidR="005B4829" w:rsidRDefault="005B4829" w:rsidP="00B75DF3">
            <w:pPr>
              <w:ind w:left="360"/>
              <w:rPr>
                <w:b/>
                <w:u w:val="single"/>
              </w:rPr>
            </w:pPr>
          </w:p>
          <w:p w14:paraId="610F4893" w14:textId="226023EB" w:rsidR="005B4829" w:rsidRDefault="005B4829" w:rsidP="00B75DF3">
            <w:pPr>
              <w:ind w:left="360"/>
              <w:rPr>
                <w:b/>
                <w:u w:val="single"/>
              </w:rPr>
            </w:pPr>
          </w:p>
          <w:p w14:paraId="5D4EB327" w14:textId="2F3BD5A2" w:rsidR="005B4829" w:rsidRDefault="005B4829" w:rsidP="00B75DF3">
            <w:pPr>
              <w:ind w:left="360"/>
              <w:rPr>
                <w:b/>
                <w:u w:val="single"/>
              </w:rPr>
            </w:pPr>
          </w:p>
          <w:p w14:paraId="257F61FF" w14:textId="77777777" w:rsidR="005B4829" w:rsidRPr="00B75DF3" w:rsidRDefault="005B4829" w:rsidP="00B75DF3">
            <w:pPr>
              <w:ind w:left="360"/>
              <w:rPr>
                <w:b/>
                <w:u w:val="single"/>
              </w:rPr>
            </w:pPr>
          </w:p>
          <w:p w14:paraId="5B28F609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</w:p>
          <w:p w14:paraId="4D739D3F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</w:p>
          <w:p w14:paraId="67645BE4" w14:textId="77777777" w:rsidR="00A46B26" w:rsidRDefault="00A46B26" w:rsidP="00A46B26">
            <w:pPr>
              <w:rPr>
                <w:b/>
                <w:u w:val="single"/>
              </w:rPr>
            </w:pPr>
          </w:p>
          <w:p w14:paraId="232BB1FF" w14:textId="77777777" w:rsidR="00A46B26" w:rsidRPr="00A46B26" w:rsidRDefault="00A46B26" w:rsidP="00501DFE">
            <w:pPr>
              <w:rPr>
                <w:b/>
                <w:u w:val="single"/>
              </w:rPr>
            </w:pPr>
          </w:p>
        </w:tc>
        <w:tc>
          <w:tcPr>
            <w:tcW w:w="6993" w:type="dxa"/>
            <w:gridSpan w:val="7"/>
            <w:vAlign w:val="center"/>
          </w:tcPr>
          <w:p w14:paraId="6B62641E" w14:textId="77777777" w:rsidR="00A46B26" w:rsidRDefault="00DC44C9" w:rsidP="00A46B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Y8 – Frankenstein </w:t>
            </w:r>
          </w:p>
          <w:p w14:paraId="191E00FC" w14:textId="05C73BD8" w:rsidR="00DC44C9" w:rsidRDefault="00D31213" w:rsidP="00A46B26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Students will develop their ability to craft their own language and write their own story on related themes and ideas to ‘Frankenstein’. This will be completed using drafting and re-drafting processes.</w:t>
            </w:r>
          </w:p>
          <w:p w14:paraId="474F849E" w14:textId="77777777" w:rsidR="00D31213" w:rsidRDefault="00D31213" w:rsidP="00A46B26">
            <w:pPr>
              <w:rPr>
                <w:b/>
                <w:u w:val="single"/>
              </w:rPr>
            </w:pPr>
          </w:p>
          <w:p w14:paraId="1191C5E9" w14:textId="77777777" w:rsidR="00DC44C9" w:rsidRDefault="00DC44C9" w:rsidP="00A46B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Y9 – Fiction Short Stories</w:t>
            </w:r>
          </w:p>
          <w:p w14:paraId="7091571F" w14:textId="22B26708" w:rsidR="00DC44C9" w:rsidRDefault="00D31213" w:rsidP="00A46B26">
            <w:pPr>
              <w:rPr>
                <w:rFonts w:eastAsia="Times New Roman" w:cstheme="minorHAnsi"/>
                <w:lang w:eastAsia="en-GB"/>
              </w:rPr>
            </w:pPr>
            <w:r w:rsidRPr="00D31213">
              <w:rPr>
                <w:rFonts w:eastAsia="Times New Roman" w:cstheme="minorHAnsi"/>
                <w:lang w:eastAsia="en-GB"/>
              </w:rPr>
              <w:t>Students will develop their creative writing skills by writing the opening to their own short story.</w:t>
            </w:r>
          </w:p>
          <w:p w14:paraId="312768FC" w14:textId="4FF36589" w:rsidR="008820F9" w:rsidRDefault="008820F9" w:rsidP="00A46B26">
            <w:pPr>
              <w:rPr>
                <w:rFonts w:eastAsia="Times New Roman" w:cstheme="minorHAnsi"/>
                <w:lang w:eastAsia="en-GB"/>
              </w:rPr>
            </w:pPr>
          </w:p>
          <w:p w14:paraId="478B1861" w14:textId="61093F27" w:rsidR="008820F9" w:rsidRDefault="008820F9" w:rsidP="00A46B26">
            <w:pPr>
              <w:rPr>
                <w:rFonts w:eastAsia="Times New Roman" w:cstheme="minorHAnsi"/>
                <w:b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u w:val="single"/>
                <w:lang w:eastAsia="en-GB"/>
              </w:rPr>
              <w:t>Y11 – A Christmas Carol</w:t>
            </w:r>
          </w:p>
          <w:p w14:paraId="3AC8B42E" w14:textId="3762034A" w:rsidR="008820F9" w:rsidRPr="008820F9" w:rsidRDefault="008820F9" w:rsidP="00A46B26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Students will have a knowledge of nineteenth century social attitudes to do with class, status and morality which will support their GCSE study of ACC.</w:t>
            </w:r>
            <w:r w:rsidR="001D798A">
              <w:rPr>
                <w:rFonts w:eastAsia="Times New Roman" w:cstheme="minorHAnsi"/>
                <w:lang w:eastAsia="en-GB"/>
              </w:rPr>
              <w:t xml:space="preserve"> Students will read 19</w:t>
            </w:r>
            <w:r w:rsidR="001D798A" w:rsidRPr="001D798A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1D798A">
              <w:rPr>
                <w:rFonts w:eastAsia="Times New Roman" w:cstheme="minorHAnsi"/>
                <w:lang w:eastAsia="en-GB"/>
              </w:rPr>
              <w:t xml:space="preserve"> Century texts, including Great Expectations, to prepare them for reading complex language.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5CD94D2B" w14:textId="77777777" w:rsidR="00D31213" w:rsidRDefault="00D31213" w:rsidP="00A46B26">
            <w:pPr>
              <w:rPr>
                <w:b/>
                <w:u w:val="single"/>
              </w:rPr>
            </w:pPr>
            <w:bookmarkStart w:id="0" w:name="_GoBack"/>
            <w:bookmarkEnd w:id="0"/>
          </w:p>
          <w:p w14:paraId="3EB7EDDD" w14:textId="70A8E96B" w:rsidR="00DC44C9" w:rsidRDefault="00DC44C9" w:rsidP="00A46B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KS4 – Language Paper 1</w:t>
            </w:r>
          </w:p>
          <w:p w14:paraId="1B0F98CC" w14:textId="7BCCFD2E" w:rsidR="00B93AFB" w:rsidRPr="00B93AFB" w:rsidRDefault="00B93AFB" w:rsidP="00A46B26">
            <w:r>
              <w:t xml:space="preserve">Students will build up the key skills required for creative writing at GCSE. </w:t>
            </w:r>
          </w:p>
          <w:p w14:paraId="5E585455" w14:textId="17DE1AD4" w:rsidR="00D31213" w:rsidRPr="00DC44C9" w:rsidRDefault="00D31213" w:rsidP="00A46B26">
            <w:pPr>
              <w:rPr>
                <w:b/>
                <w:u w:val="single"/>
              </w:rPr>
            </w:pPr>
          </w:p>
        </w:tc>
      </w:tr>
    </w:tbl>
    <w:p w14:paraId="38B08D01" w14:textId="77777777" w:rsidR="002F34DF" w:rsidRPr="00AD595B" w:rsidRDefault="002F34DF">
      <w:pPr>
        <w:rPr>
          <w:sz w:val="12"/>
        </w:rPr>
      </w:pPr>
    </w:p>
    <w:sectPr w:rsidR="002F34DF" w:rsidRPr="00AD595B" w:rsidSect="00166980">
      <w:pgSz w:w="11906" w:h="16838"/>
      <w:pgMar w:top="851" w:right="212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3D9"/>
    <w:multiLevelType w:val="hybridMultilevel"/>
    <w:tmpl w:val="3712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A45"/>
    <w:multiLevelType w:val="hybridMultilevel"/>
    <w:tmpl w:val="E826A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697A"/>
    <w:multiLevelType w:val="hybridMultilevel"/>
    <w:tmpl w:val="6C86D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2458"/>
    <w:multiLevelType w:val="hybridMultilevel"/>
    <w:tmpl w:val="145E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E7005"/>
    <w:multiLevelType w:val="hybridMultilevel"/>
    <w:tmpl w:val="5DCA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63E80"/>
    <w:multiLevelType w:val="hybridMultilevel"/>
    <w:tmpl w:val="C6CE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D30A1"/>
    <w:multiLevelType w:val="hybridMultilevel"/>
    <w:tmpl w:val="BC3A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E44AA"/>
    <w:multiLevelType w:val="hybridMultilevel"/>
    <w:tmpl w:val="D45EB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67210"/>
    <w:multiLevelType w:val="hybridMultilevel"/>
    <w:tmpl w:val="1E1A2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00FDE"/>
    <w:multiLevelType w:val="hybridMultilevel"/>
    <w:tmpl w:val="CF06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C5A9B"/>
    <w:multiLevelType w:val="hybridMultilevel"/>
    <w:tmpl w:val="795A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80"/>
    <w:rsid w:val="000218FA"/>
    <w:rsid w:val="00110F17"/>
    <w:rsid w:val="0014004D"/>
    <w:rsid w:val="0015247B"/>
    <w:rsid w:val="00166980"/>
    <w:rsid w:val="001D798A"/>
    <w:rsid w:val="002B0501"/>
    <w:rsid w:val="002F34DF"/>
    <w:rsid w:val="003057B2"/>
    <w:rsid w:val="00365ACC"/>
    <w:rsid w:val="00407E39"/>
    <w:rsid w:val="00416921"/>
    <w:rsid w:val="00460B71"/>
    <w:rsid w:val="00501DFE"/>
    <w:rsid w:val="005B3B7A"/>
    <w:rsid w:val="005B4829"/>
    <w:rsid w:val="00646D0B"/>
    <w:rsid w:val="0066257C"/>
    <w:rsid w:val="006D174A"/>
    <w:rsid w:val="0077778A"/>
    <w:rsid w:val="007B5DCF"/>
    <w:rsid w:val="0081257D"/>
    <w:rsid w:val="00873CF1"/>
    <w:rsid w:val="008820F9"/>
    <w:rsid w:val="008E2B75"/>
    <w:rsid w:val="00956E10"/>
    <w:rsid w:val="00A46B26"/>
    <w:rsid w:val="00A6288E"/>
    <w:rsid w:val="00AD595B"/>
    <w:rsid w:val="00B75DF3"/>
    <w:rsid w:val="00B93AFB"/>
    <w:rsid w:val="00C63D77"/>
    <w:rsid w:val="00C66507"/>
    <w:rsid w:val="00D31213"/>
    <w:rsid w:val="00DC44C9"/>
    <w:rsid w:val="00E010A6"/>
    <w:rsid w:val="00E23455"/>
    <w:rsid w:val="00E406FE"/>
    <w:rsid w:val="00EC0572"/>
    <w:rsid w:val="00EC68CB"/>
    <w:rsid w:val="00E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12A"/>
  <w15:chartTrackingRefBased/>
  <w15:docId w15:val="{183927CC-A481-442D-838D-D3CD51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A3C0C86B6F74BBA11D242FD2AEF83" ma:contentTypeVersion="10" ma:contentTypeDescription="Create a new document." ma:contentTypeScope="" ma:versionID="91e4fa096de1d6473be316e3d718a4c5">
  <xsd:schema xmlns:xsd="http://www.w3.org/2001/XMLSchema" xmlns:xs="http://www.w3.org/2001/XMLSchema" xmlns:p="http://schemas.microsoft.com/office/2006/metadata/properties" xmlns:ns2="68c5841a-5909-4d2f-a544-c309ae69ac52" xmlns:ns3="87479283-8fd9-4aff-b19f-38b2bc709453" targetNamespace="http://schemas.microsoft.com/office/2006/metadata/properties" ma:root="true" ma:fieldsID="37719f635a55a21c6c74f55fc2c350a0" ns2:_="" ns3:_="">
    <xsd:import namespace="68c5841a-5909-4d2f-a544-c309ae69ac52"/>
    <xsd:import namespace="87479283-8fd9-4aff-b19f-38b2bc7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841a-5909-4d2f-a544-c309ae69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0B98C-1521-4133-8E6C-5F354A48D5EF}"/>
</file>

<file path=customXml/itemProps2.xml><?xml version="1.0" encoding="utf-8"?>
<ds:datastoreItem xmlns:ds="http://schemas.openxmlformats.org/officeDocument/2006/customXml" ds:itemID="{95699B39-A758-4BF6-BE16-54357DC65431}">
  <ds:schemaRefs>
    <ds:schemaRef ds:uri="http://purl.org/dc/elements/1.1/"/>
    <ds:schemaRef ds:uri="c0487305-f5ca-4bbe-9c26-5597e05b11a2"/>
    <ds:schemaRef ds:uri="02745e70-b57c-4178-b10a-048b8851f347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83C3C1-D4E0-4F10-AF1F-105587E5C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Khan (St Marks)</dc:creator>
  <cp:keywords/>
  <dc:description/>
  <cp:lastModifiedBy>Bethany Lanham (St Marks)</cp:lastModifiedBy>
  <cp:revision>3</cp:revision>
  <cp:lastPrinted>2022-02-23T15:20:00Z</cp:lastPrinted>
  <dcterms:created xsi:type="dcterms:W3CDTF">2022-06-27T06:29:00Z</dcterms:created>
  <dcterms:modified xsi:type="dcterms:W3CDTF">2022-06-30T14:52:00Z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0x01010060FA3C0C86B6F74BBA11D242FD2AEF83</vt:lpwstr>
  </property>
</Properties>
</file>