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rsidTr="5A9AD52C" w14:paraId="1C2E822E" w14:textId="77777777">
        <w:trPr>
          <w:trHeight w:val="416"/>
        </w:trPr>
        <w:tc>
          <w:tcPr>
            <w:tcW w:w="10485" w:type="dxa"/>
            <w:gridSpan w:val="10"/>
            <w:tcMar/>
            <w:vAlign w:val="center"/>
          </w:tcPr>
          <w:p w:rsidRPr="00166980" w:rsidR="00166980" w:rsidP="00166980" w:rsidRDefault="00166980" w14:paraId="33B0AECB" w14:textId="2C3DCC5C">
            <w:pPr>
              <w:rPr>
                <w:b/>
              </w:rPr>
            </w:pPr>
            <w:r w:rsidRPr="00166980">
              <w:rPr>
                <w:b/>
              </w:rPr>
              <w:t>Unit Overview:</w:t>
            </w:r>
            <w:r w:rsidR="00015D41">
              <w:rPr>
                <w:b/>
              </w:rPr>
              <w:t xml:space="preserve"> </w:t>
            </w:r>
            <w:r w:rsidR="005A38A3">
              <w:rPr>
                <w:b/>
              </w:rPr>
              <w:t>C</w:t>
            </w:r>
            <w:r w:rsidR="00B91DDD">
              <w:rPr>
                <w:b/>
              </w:rPr>
              <w:t>5</w:t>
            </w:r>
            <w:r w:rsidR="005A38A3">
              <w:rPr>
                <w:b/>
              </w:rPr>
              <w:t xml:space="preserve">: </w:t>
            </w:r>
            <w:r w:rsidR="00B91DDD">
              <w:rPr>
                <w:b/>
              </w:rPr>
              <w:t>Chemical Changes</w:t>
            </w:r>
          </w:p>
        </w:tc>
      </w:tr>
      <w:tr w:rsidR="00166980" w:rsidTr="5A9AD52C" w14:paraId="2CFBA4A4" w14:textId="77777777">
        <w:trPr>
          <w:trHeight w:val="419"/>
        </w:trPr>
        <w:tc>
          <w:tcPr>
            <w:tcW w:w="1270" w:type="dxa"/>
            <w:tcMar/>
            <w:vAlign w:val="center"/>
          </w:tcPr>
          <w:p w:rsidRPr="00166980" w:rsidR="00166980" w:rsidP="00166980" w:rsidRDefault="00166980" w14:paraId="3F44EFC9" w14:textId="77777777">
            <w:pPr>
              <w:rPr>
                <w:b/>
              </w:rPr>
            </w:pPr>
            <w:r w:rsidRPr="00166980">
              <w:rPr>
                <w:b/>
              </w:rPr>
              <w:t>Half- Term:</w:t>
            </w:r>
          </w:p>
        </w:tc>
        <w:tc>
          <w:tcPr>
            <w:tcW w:w="1109" w:type="dxa"/>
            <w:tcMar/>
            <w:vAlign w:val="center"/>
          </w:tcPr>
          <w:p w:rsidRPr="00166980" w:rsidR="00166980" w:rsidP="00166980" w:rsidRDefault="00166980" w14:paraId="52AFBA06" w14:textId="77777777">
            <w:pPr>
              <w:jc w:val="center"/>
            </w:pPr>
            <w:r w:rsidRPr="00166980">
              <w:t>AUT 1</w:t>
            </w:r>
          </w:p>
        </w:tc>
        <w:tc>
          <w:tcPr>
            <w:tcW w:w="1113" w:type="dxa"/>
            <w:shd w:val="clear" w:color="auto" w:fill="FFFF00"/>
            <w:tcMar/>
            <w:vAlign w:val="center"/>
          </w:tcPr>
          <w:p w:rsidRPr="00217C2E" w:rsidR="00166980" w:rsidP="00166980" w:rsidRDefault="00166980" w14:paraId="3A806760" w14:textId="77777777">
            <w:pPr>
              <w:jc w:val="center"/>
            </w:pPr>
            <w:r w:rsidRPr="00217C2E">
              <w:t>AUT 2</w:t>
            </w:r>
          </w:p>
        </w:tc>
        <w:tc>
          <w:tcPr>
            <w:tcW w:w="1111" w:type="dxa"/>
            <w:tcMar/>
            <w:vAlign w:val="center"/>
          </w:tcPr>
          <w:p w:rsidRPr="00166980" w:rsidR="00166980" w:rsidP="00166980" w:rsidRDefault="00166980" w14:paraId="6B0A96A1" w14:textId="77777777">
            <w:pPr>
              <w:jc w:val="center"/>
            </w:pPr>
            <w:r w:rsidRPr="00166980">
              <w:t>SPR 1</w:t>
            </w:r>
          </w:p>
        </w:tc>
        <w:tc>
          <w:tcPr>
            <w:tcW w:w="1110" w:type="dxa"/>
            <w:tcMar/>
            <w:vAlign w:val="center"/>
          </w:tcPr>
          <w:p w:rsidRPr="00166980" w:rsidR="00166980" w:rsidP="00166980" w:rsidRDefault="00166980" w14:paraId="104186A4" w14:textId="77777777">
            <w:pPr>
              <w:jc w:val="center"/>
            </w:pPr>
            <w:r w:rsidRPr="005A38A3">
              <w:t>SPR 2</w:t>
            </w:r>
          </w:p>
        </w:tc>
        <w:tc>
          <w:tcPr>
            <w:tcW w:w="1110" w:type="dxa"/>
            <w:tcMar/>
            <w:vAlign w:val="center"/>
          </w:tcPr>
          <w:p w:rsidRPr="00166980" w:rsidR="00166980" w:rsidP="00166980" w:rsidRDefault="00166980" w14:paraId="3CD707A3" w14:textId="77777777">
            <w:pPr>
              <w:jc w:val="center"/>
            </w:pPr>
            <w:r w:rsidRPr="00166980">
              <w:t>SUM 1</w:t>
            </w:r>
          </w:p>
        </w:tc>
        <w:tc>
          <w:tcPr>
            <w:tcW w:w="1111" w:type="dxa"/>
            <w:gridSpan w:val="2"/>
            <w:tcMar/>
            <w:vAlign w:val="center"/>
          </w:tcPr>
          <w:p w:rsidRPr="00166980" w:rsidR="00166980" w:rsidP="00166980" w:rsidRDefault="00166980" w14:paraId="204CCBB0" w14:textId="77777777">
            <w:pPr>
              <w:jc w:val="center"/>
            </w:pPr>
            <w:r w:rsidRPr="00166980">
              <w:t>SUM 2</w:t>
            </w:r>
          </w:p>
        </w:tc>
        <w:tc>
          <w:tcPr>
            <w:tcW w:w="1842" w:type="dxa"/>
            <w:tcMar/>
            <w:vAlign w:val="center"/>
          </w:tcPr>
          <w:p w:rsidRPr="00166980" w:rsidR="00166980" w:rsidP="00166980" w:rsidRDefault="00166980" w14:paraId="3D2EDFC0" w14:textId="77777777">
            <w:pPr>
              <w:rPr>
                <w:b/>
              </w:rPr>
            </w:pPr>
            <w:r w:rsidRPr="00166980">
              <w:rPr>
                <w:b/>
              </w:rPr>
              <w:t>No of Lessons:</w:t>
            </w:r>
          </w:p>
        </w:tc>
        <w:tc>
          <w:tcPr>
            <w:tcW w:w="709" w:type="dxa"/>
            <w:tcMar/>
            <w:vAlign w:val="center"/>
          </w:tcPr>
          <w:p w:rsidRPr="00166980" w:rsidR="00166980" w:rsidP="00166980" w:rsidRDefault="005F1395" w14:paraId="4A4AA729" w14:textId="150C399C">
            <w:pPr>
              <w:rPr>
                <w:b/>
              </w:rPr>
            </w:pPr>
            <w:r>
              <w:rPr>
                <w:b/>
              </w:rPr>
              <w:t>6</w:t>
            </w:r>
          </w:p>
        </w:tc>
      </w:tr>
      <w:tr w:rsidR="00166980" w:rsidTr="5A9AD52C" w14:paraId="0DDB5018" w14:textId="77777777">
        <w:trPr>
          <w:trHeight w:val="424"/>
        </w:trPr>
        <w:tc>
          <w:tcPr>
            <w:tcW w:w="10485" w:type="dxa"/>
            <w:gridSpan w:val="10"/>
            <w:tcMar/>
            <w:vAlign w:val="center"/>
          </w:tcPr>
          <w:p w:rsidRPr="00166980" w:rsidR="00166980" w:rsidP="00166980" w:rsidRDefault="00166980" w14:paraId="4CE7EBC3" w14:textId="12B898FB">
            <w:pPr>
              <w:jc w:val="center"/>
              <w:rPr>
                <w:b/>
                <w:u w:val="single"/>
              </w:rPr>
            </w:pPr>
            <w:r w:rsidRPr="00166980">
              <w:rPr>
                <w:b/>
                <w:u w:val="single"/>
              </w:rPr>
              <w:t>Key Focus for Unit:</w:t>
            </w:r>
            <w:r w:rsidR="00015D41">
              <w:rPr>
                <w:b/>
                <w:u w:val="single"/>
              </w:rPr>
              <w:t xml:space="preserve"> </w:t>
            </w:r>
          </w:p>
          <w:p w:rsidR="00A46B26" w:rsidP="00166980" w:rsidRDefault="00166980" w14:paraId="784C7CEA" w14:textId="77777777">
            <w:pPr>
              <w:jc w:val="center"/>
              <w:rPr>
                <w:i/>
              </w:rPr>
            </w:pPr>
            <w:r w:rsidRPr="007B5DCF">
              <w:rPr>
                <w:i/>
              </w:rPr>
              <w:t xml:space="preserve">What is the key knowledge being delivered? </w:t>
            </w:r>
          </w:p>
          <w:p w:rsidRPr="007B5DCF" w:rsidR="00166980" w:rsidP="00166980" w:rsidRDefault="00166980" w14:paraId="29611E7C" w14:textId="77777777">
            <w:pPr>
              <w:jc w:val="center"/>
              <w:rPr>
                <w:i/>
              </w:rPr>
            </w:pPr>
            <w:r w:rsidRPr="007B5DCF">
              <w:rPr>
                <w:i/>
              </w:rPr>
              <w:t>What is the intent of this unit?</w:t>
            </w:r>
          </w:p>
        </w:tc>
      </w:tr>
      <w:tr w:rsidR="00166980" w:rsidTr="5A9AD52C" w14:paraId="5C8B9480" w14:textId="77777777">
        <w:trPr>
          <w:trHeight w:val="1256"/>
        </w:trPr>
        <w:tc>
          <w:tcPr>
            <w:tcW w:w="10485" w:type="dxa"/>
            <w:gridSpan w:val="10"/>
            <w:tcMar/>
            <w:vAlign w:val="center"/>
          </w:tcPr>
          <w:p w:rsidR="005A38A3" w:rsidP="005A38A3" w:rsidRDefault="005A38A3" w14:paraId="0C678ACA" w14:textId="77777777">
            <w:r>
              <w:tab/>
            </w:r>
          </w:p>
          <w:p w:rsidR="005A38A3" w:rsidP="005A38A3" w:rsidRDefault="005A38A3" w14:paraId="7B443036" w14:textId="77777777">
            <w:r>
              <w:tab/>
            </w:r>
          </w:p>
          <w:p w:rsidR="005420A2" w:rsidP="005A38A3" w:rsidRDefault="005A38A3" w14:paraId="49A71B5C" w14:textId="01FA76BD">
            <w:r>
              <w:tab/>
            </w:r>
          </w:p>
          <w:p w:rsidRPr="00623F8C" w:rsidR="00B91DDD" w:rsidP="00166980" w:rsidRDefault="00B91DDD" w14:paraId="02E42C2B" w14:textId="51ABAAC9">
            <w:r>
              <w:t>Students will explore the pH scale which shows the acidity and alkalinity of substances</w:t>
            </w:r>
            <w:r w:rsidR="00623F8C">
              <w:t xml:space="preserve"> and explain how the H</w:t>
            </w:r>
            <w:r w:rsidR="00623F8C">
              <w:rPr>
                <w:vertAlign w:val="superscript"/>
              </w:rPr>
              <w:t>+</w:t>
            </w:r>
            <w:r w:rsidR="00623F8C">
              <w:t xml:space="preserve"> and OH</w:t>
            </w:r>
            <w:r w:rsidR="00623F8C">
              <w:rPr>
                <w:vertAlign w:val="superscript"/>
              </w:rPr>
              <w:t>-</w:t>
            </w:r>
            <w:r w:rsidR="00623F8C">
              <w:t xml:space="preserve"> produce water. Students should recall how salts can be made from soluble and insoluble bases reacting with acids. </w:t>
            </w:r>
            <w:r w:rsidRPr="00623F8C" w:rsidR="00623F8C">
              <w:rPr>
                <w:color w:val="538135" w:themeColor="accent6" w:themeShade="BF"/>
              </w:rPr>
              <w:t>Students will explore the difference between a weak acid and strong acid.</w:t>
            </w:r>
          </w:p>
          <w:p w:rsidR="00B91DDD" w:rsidP="00166980" w:rsidRDefault="00B91DDD" w14:paraId="73D2F027" w14:textId="17FDE919">
            <w:pPr>
              <w:rPr>
                <w:color w:val="385623" w:themeColor="accent6" w:themeShade="80"/>
              </w:rPr>
            </w:pPr>
            <w:r>
              <w:t xml:space="preserve">In this topic student should be able to recall that metals can be placed in a reactivity series based on their reactivity trends. The metals are able to be displaced based on their level of reactivity. Students should be able to predict the products of a displacement reaction using given metals as well as determine methods used to extract particular metals (aluminium and lead) from its corresponding ore. Student should be able to explain oxidation and reduction process in terms of oxygen </w:t>
            </w:r>
            <w:r w:rsidRPr="00B91DDD">
              <w:rPr>
                <w:color w:val="538135" w:themeColor="accent6" w:themeShade="BF"/>
              </w:rPr>
              <w:t xml:space="preserve">and electron. </w:t>
            </w:r>
          </w:p>
          <w:p w:rsidR="00A46B26" w:rsidP="00166980" w:rsidRDefault="00A46B26" w14:paraId="7F798524" w14:textId="77777777"/>
          <w:p w:rsidR="00A46B26" w:rsidP="00166980" w:rsidRDefault="00A46B26" w14:paraId="73F5B887" w14:textId="77777777"/>
          <w:p w:rsidR="00A46B26" w:rsidP="00166980" w:rsidRDefault="00A46B26" w14:paraId="34B4F606" w14:textId="77777777"/>
          <w:p w:rsidR="00A46B26" w:rsidP="00166980" w:rsidRDefault="00A46B26" w14:paraId="1D4F1C13" w14:textId="77777777"/>
          <w:p w:rsidR="00A46B26" w:rsidP="00166980" w:rsidRDefault="00A46B26" w14:paraId="7EF4BAD9" w14:textId="77777777"/>
          <w:p w:rsidR="00A46B26" w:rsidP="00166980" w:rsidRDefault="00A46B26" w14:paraId="0DB10EA5" w14:textId="77777777"/>
        </w:tc>
      </w:tr>
      <w:tr w:rsidR="00A46B26" w:rsidTr="5A9AD52C" w14:paraId="623D560E" w14:textId="77777777">
        <w:trPr>
          <w:trHeight w:val="441"/>
        </w:trPr>
        <w:tc>
          <w:tcPr>
            <w:tcW w:w="10485" w:type="dxa"/>
            <w:gridSpan w:val="10"/>
            <w:tcMar/>
            <w:vAlign w:val="center"/>
          </w:tcPr>
          <w:p w:rsidR="00A46B26" w:rsidP="00A46B26" w:rsidRDefault="00A46B26" w14:paraId="71CCD40E" w14:textId="77777777">
            <w:pPr>
              <w:jc w:val="center"/>
              <w:rPr>
                <w:b/>
                <w:u w:val="single"/>
              </w:rPr>
            </w:pPr>
            <w:r w:rsidRPr="00A46B26">
              <w:rPr>
                <w:b/>
                <w:u w:val="single"/>
              </w:rPr>
              <w:t>Key Knowledge and Big Ideas:</w:t>
            </w:r>
          </w:p>
          <w:p w:rsidR="00A46B26" w:rsidP="00A46B26" w:rsidRDefault="00A46B26" w14:paraId="59F009F5" w14:textId="77777777">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rsidRPr="00A46B26" w:rsidR="00A46B26" w:rsidP="00A46B26" w:rsidRDefault="00A46B26" w14:paraId="68BAD2FE" w14:textId="7704BC34">
            <w:pPr>
              <w:jc w:val="center"/>
              <w:rPr>
                <w:i/>
              </w:rPr>
            </w:pPr>
            <w:r w:rsidRPr="00A46B26">
              <w:rPr>
                <w:i/>
              </w:rPr>
              <w:t>How have these progressed from previous learning?</w:t>
            </w:r>
            <w:r w:rsidR="00501DFE">
              <w:rPr>
                <w:i/>
              </w:rPr>
              <w:t xml:space="preserve"> What </w:t>
            </w:r>
            <w:r w:rsidRPr="006D174A" w:rsidR="00501DFE">
              <w:rPr>
                <w:b/>
                <w:bCs/>
                <w:i/>
              </w:rPr>
              <w:t>gaps in knowledge</w:t>
            </w:r>
            <w:r w:rsidR="00501DFE">
              <w:rPr>
                <w:i/>
              </w:rPr>
              <w:t xml:space="preserve"> have you identified from </w:t>
            </w:r>
            <w:r w:rsidRPr="006D174A" w:rsidR="00501DFE">
              <w:rPr>
                <w:b/>
                <w:bCs/>
                <w:i/>
              </w:rPr>
              <w:t xml:space="preserve">baselining </w:t>
            </w:r>
            <w:r w:rsidR="00501DFE">
              <w:rPr>
                <w:i/>
              </w:rPr>
              <w:t>and how are the being closed?</w:t>
            </w:r>
          </w:p>
        </w:tc>
      </w:tr>
      <w:tr w:rsidR="00A46B26" w:rsidTr="5A9AD52C" w14:paraId="3C33E224" w14:textId="77777777">
        <w:trPr>
          <w:trHeight w:val="1256"/>
        </w:trPr>
        <w:tc>
          <w:tcPr>
            <w:tcW w:w="10485" w:type="dxa"/>
            <w:gridSpan w:val="10"/>
            <w:tcMar/>
            <w:vAlign w:val="center"/>
          </w:tcPr>
          <w:p w:rsidR="00A46B26" w:rsidP="00166980" w:rsidRDefault="00A46B26" w14:paraId="661B339F" w14:textId="77777777"/>
          <w:p w:rsidR="00217C2E" w:rsidP="005420A2" w:rsidRDefault="00217C2E" w14:paraId="029CE868" w14:textId="3F3A8436">
            <w:r>
              <w:t xml:space="preserve">Chemical Reactions- to understand how atoms are rearranged during a chemical reaction either by releasing or taking in energy. Due to the rearrangement of atoms, reactants are able to form products. </w:t>
            </w:r>
          </w:p>
          <w:p w:rsidR="00217C2E" w:rsidP="00166980" w:rsidRDefault="00217C2E" w14:paraId="4DAA731F" w14:textId="77777777"/>
          <w:p w:rsidRPr="00F666D4" w:rsidR="00217C2E" w:rsidP="00217C2E" w:rsidRDefault="00217C2E" w14:paraId="1B10A216" w14:textId="5B4C8F01">
            <w:r>
              <w:t xml:space="preserve">The previous link will be </w:t>
            </w:r>
            <w:r w:rsidRPr="00F666D4">
              <w:rPr>
                <w:i/>
              </w:rPr>
              <w:t>The Periodic Table</w:t>
            </w:r>
            <w:r>
              <w:rPr>
                <w:i/>
              </w:rPr>
              <w:t xml:space="preserve">, </w:t>
            </w:r>
            <w:r>
              <w:t xml:space="preserve">that looks at atoms being the smallest particle in an element. This unit builds to show the interaction of elements to form compounds and mixtures. </w:t>
            </w:r>
            <w:r w:rsidR="008B4AFF">
              <w:t xml:space="preserve">Also, this topic is linked to Yr8 reactant and products as well as Yr9 Structure and bonding within compounds and molecules. </w:t>
            </w:r>
          </w:p>
          <w:p w:rsidR="00217C2E" w:rsidP="00217C2E" w:rsidRDefault="00217C2E" w14:paraId="6826F617" w14:textId="77777777"/>
          <w:p w:rsidR="00217C2E" w:rsidP="00217C2E" w:rsidRDefault="00217C2E" w14:paraId="39BBB0DD" w14:textId="77777777">
            <w:r>
              <w:t xml:space="preserve">Student baselines are assessed through retrieval practice in starter questions, low stake quizzes, no-hands up questioning (both lower order to higher order questioning) and mini-whiteboard quick fire quiz.  Gaps in knowledge can be identified using the previously mentioned methods and will be addressed in the lesson immediately or the next lesson, as well as throughout the term with the use of retrieval practices. </w:t>
            </w:r>
          </w:p>
          <w:p w:rsidR="00A46B26" w:rsidP="00166980" w:rsidRDefault="00A46B26" w14:paraId="3806D405" w14:textId="77777777"/>
          <w:p w:rsidR="00A46B26" w:rsidP="00166980" w:rsidRDefault="00A46B26" w14:paraId="79009F87" w14:textId="77777777"/>
          <w:p w:rsidR="00A46B26" w:rsidP="00166980" w:rsidRDefault="00A46B26" w14:paraId="27F4E479" w14:textId="77777777"/>
          <w:p w:rsidR="00A46B26" w:rsidP="00166980" w:rsidRDefault="00A46B26" w14:paraId="78EDB51E" w14:textId="77777777"/>
          <w:p w:rsidR="00A46B26" w:rsidP="00166980" w:rsidRDefault="00A46B26" w14:paraId="524A44D2" w14:textId="77777777"/>
          <w:p w:rsidR="00A46B26" w:rsidP="00166980" w:rsidRDefault="00A46B26" w14:paraId="063F0F20" w14:textId="77777777"/>
        </w:tc>
      </w:tr>
      <w:tr w:rsidR="007B5DCF" w:rsidTr="5A9AD52C" w14:paraId="69923A53" w14:textId="77777777">
        <w:tc>
          <w:tcPr>
            <w:tcW w:w="10485" w:type="dxa"/>
            <w:gridSpan w:val="10"/>
            <w:tcMar/>
            <w:vAlign w:val="center"/>
          </w:tcPr>
          <w:p w:rsidRPr="00166980" w:rsidR="007B5DCF" w:rsidP="007B5DCF" w:rsidRDefault="007B5DCF" w14:paraId="2D775CAA" w14:textId="77777777">
            <w:pPr>
              <w:jc w:val="center"/>
              <w:rPr>
                <w:b/>
                <w:u w:val="single"/>
              </w:rPr>
            </w:pPr>
            <w:r>
              <w:rPr>
                <w:b/>
                <w:u w:val="single"/>
              </w:rPr>
              <w:t>Unit Assessment</w:t>
            </w:r>
            <w:r w:rsidRPr="00166980">
              <w:rPr>
                <w:b/>
                <w:u w:val="single"/>
              </w:rPr>
              <w:t>:</w:t>
            </w:r>
          </w:p>
          <w:p w:rsidR="00A46B26" w:rsidP="007B5DCF" w:rsidRDefault="007B5DCF" w14:paraId="572ABA93" w14:textId="77777777">
            <w:pPr>
              <w:jc w:val="center"/>
              <w:rPr>
                <w:i/>
              </w:rPr>
            </w:pPr>
            <w:r>
              <w:rPr>
                <w:i/>
              </w:rPr>
              <w:t>How will this unit be assessed</w:t>
            </w:r>
            <w:r w:rsidRPr="007B5DCF">
              <w:rPr>
                <w:i/>
              </w:rPr>
              <w:t>?</w:t>
            </w:r>
            <w:r>
              <w:rPr>
                <w:i/>
              </w:rPr>
              <w:t xml:space="preserve"> </w:t>
            </w:r>
          </w:p>
          <w:p w:rsidR="007B5DCF" w:rsidP="007B5DCF" w:rsidRDefault="007B5DCF" w14:paraId="1D448AEC" w14:textId="77777777">
            <w:pPr>
              <w:jc w:val="center"/>
            </w:pPr>
            <w:r>
              <w:rPr>
                <w:i/>
              </w:rPr>
              <w:t>What is the frequency of assessments – baselines etc?</w:t>
            </w:r>
          </w:p>
        </w:tc>
      </w:tr>
      <w:tr w:rsidR="00A46B26" w:rsidTr="5A9AD52C" w14:paraId="1071D02F" w14:textId="77777777">
        <w:tc>
          <w:tcPr>
            <w:tcW w:w="10485" w:type="dxa"/>
            <w:gridSpan w:val="10"/>
            <w:tcMar/>
            <w:vAlign w:val="center"/>
          </w:tcPr>
          <w:p w:rsidR="00A46B26" w:rsidP="00166980" w:rsidRDefault="00A46B26" w14:paraId="29D48401" w14:textId="77777777"/>
          <w:p w:rsidR="00A46B26" w:rsidP="00166980" w:rsidRDefault="005420A2" w14:paraId="58D8EBE2" w14:textId="2E0F53E5">
            <w:r>
              <w:t>Formative assessment:</w:t>
            </w:r>
          </w:p>
          <w:p w:rsidR="005420A2" w:rsidP="005420A2" w:rsidRDefault="005420A2" w14:paraId="1D124824" w14:textId="0671C2BF">
            <w:pPr>
              <w:pStyle w:val="ListParagraph"/>
              <w:numPr>
                <w:ilvl w:val="0"/>
                <w:numId w:val="3"/>
              </w:numPr>
            </w:pPr>
            <w:r>
              <w:t xml:space="preserve">6 mark extended writing task </w:t>
            </w:r>
          </w:p>
          <w:p w:rsidR="005420A2" w:rsidP="005420A2" w:rsidRDefault="005420A2" w14:paraId="5548BABB" w14:textId="36606CE9">
            <w:pPr>
              <w:pStyle w:val="ListParagraph"/>
              <w:numPr>
                <w:ilvl w:val="0"/>
                <w:numId w:val="3"/>
              </w:numPr>
            </w:pPr>
            <w:r>
              <w:t xml:space="preserve">Assesses powerful knowledge and literacy </w:t>
            </w:r>
          </w:p>
          <w:p w:rsidR="005420A2" w:rsidP="005420A2" w:rsidRDefault="005420A2" w14:paraId="2C3EF698" w14:textId="04EC0357">
            <w:pPr>
              <w:pStyle w:val="ListParagraph"/>
              <w:numPr>
                <w:ilvl w:val="0"/>
                <w:numId w:val="3"/>
              </w:numPr>
            </w:pPr>
            <w:r>
              <w:t xml:space="preserve">Feedback and response time built into lesson </w:t>
            </w:r>
          </w:p>
          <w:p w:rsidR="005420A2" w:rsidP="00166980" w:rsidRDefault="005420A2" w14:paraId="0B961A89" w14:textId="0B3352E6"/>
          <w:p w:rsidR="005420A2" w:rsidP="00166980" w:rsidRDefault="005420A2" w14:paraId="4AFFEFB6" w14:textId="6627D761">
            <w:r>
              <w:t>Summative assessment:</w:t>
            </w:r>
          </w:p>
          <w:p w:rsidR="005420A2" w:rsidP="005420A2" w:rsidRDefault="005420A2" w14:paraId="217E838D" w14:textId="4587D3A3">
            <w:pPr>
              <w:pStyle w:val="ListParagraph"/>
              <w:numPr>
                <w:ilvl w:val="0"/>
                <w:numId w:val="3"/>
              </w:numPr>
            </w:pPr>
            <w:r>
              <w:t xml:space="preserve">45minutes assessment </w:t>
            </w:r>
          </w:p>
          <w:p w:rsidR="005420A2" w:rsidP="005420A2" w:rsidRDefault="005420A2" w14:paraId="06CEEFA2" w14:textId="4137006C">
            <w:pPr>
              <w:pStyle w:val="ListParagraph"/>
              <w:numPr>
                <w:ilvl w:val="0"/>
                <w:numId w:val="3"/>
              </w:numPr>
            </w:pPr>
            <w:r>
              <w:t xml:space="preserve">Assesses powerful knowledge through past exam questions </w:t>
            </w:r>
          </w:p>
          <w:p w:rsidR="005420A2" w:rsidP="005420A2" w:rsidRDefault="005420A2" w14:paraId="1191788E" w14:textId="77777777">
            <w:pPr>
              <w:pStyle w:val="ListParagraph"/>
              <w:numPr>
                <w:ilvl w:val="0"/>
                <w:numId w:val="3"/>
              </w:numPr>
            </w:pPr>
            <w:r>
              <w:t xml:space="preserve">Feedback and response time built into lesson </w:t>
            </w:r>
          </w:p>
          <w:p w:rsidR="005420A2" w:rsidP="005420A2" w:rsidRDefault="005420A2" w14:paraId="7617FEA8" w14:textId="14CAAD70">
            <w:pPr>
              <w:pStyle w:val="ListParagraph"/>
            </w:pPr>
          </w:p>
          <w:p w:rsidR="005420A2" w:rsidP="005420A2" w:rsidRDefault="005420A2" w14:paraId="3E6C70F6" w14:textId="51F0B032">
            <w:pPr>
              <w:pStyle w:val="ListParagraph"/>
              <w:ind w:left="0"/>
            </w:pPr>
            <w:r>
              <w:t>Homework KS3/4:</w:t>
            </w:r>
          </w:p>
          <w:p w:rsidR="005420A2" w:rsidP="005420A2" w:rsidRDefault="005420A2" w14:paraId="6A6C596E" w14:textId="481352A7">
            <w:pPr>
              <w:pStyle w:val="ListParagraph"/>
              <w:numPr>
                <w:ilvl w:val="0"/>
                <w:numId w:val="3"/>
              </w:numPr>
            </w:pPr>
            <w:r>
              <w:t xml:space="preserve">Weekly </w:t>
            </w:r>
            <w:proofErr w:type="spellStart"/>
            <w:r>
              <w:t>Educake</w:t>
            </w:r>
            <w:proofErr w:type="spellEnd"/>
            <w:r>
              <w:t xml:space="preserve"> assignments (</w:t>
            </w:r>
            <w:proofErr w:type="spellStart"/>
            <w:r>
              <w:t>Yr</w:t>
            </w:r>
            <w:proofErr w:type="spellEnd"/>
            <w:r>
              <w:t xml:space="preserve"> 7 -11)</w:t>
            </w:r>
          </w:p>
          <w:p w:rsidR="005420A2" w:rsidP="005420A2" w:rsidRDefault="005420A2" w14:paraId="0D9AD9DC" w14:textId="77777777">
            <w:pPr>
              <w:pStyle w:val="ListParagraph"/>
              <w:numPr>
                <w:ilvl w:val="0"/>
                <w:numId w:val="3"/>
              </w:numPr>
            </w:pPr>
            <w:r>
              <w:t xml:space="preserve">Assesses powerful knowledge and literacy </w:t>
            </w:r>
          </w:p>
          <w:p w:rsidR="005420A2" w:rsidP="005420A2" w:rsidRDefault="005420A2" w14:paraId="2856B1C7" w14:textId="6C4E297F">
            <w:pPr>
              <w:ind w:left="360"/>
            </w:pPr>
          </w:p>
          <w:p w:rsidR="00A46B26" w:rsidP="00166980" w:rsidRDefault="00A46B26" w14:paraId="14DE2EEC" w14:textId="436ED350"/>
          <w:p w:rsidR="00A46B26" w:rsidP="00166980" w:rsidRDefault="00A46B26" w14:paraId="2ABAC3D7" w14:textId="77777777"/>
          <w:p w:rsidR="00A46B26" w:rsidP="00166980" w:rsidRDefault="00A46B26" w14:paraId="59F7DA1C" w14:textId="77777777"/>
          <w:p w:rsidR="00A46B26" w:rsidP="00166980" w:rsidRDefault="00A46B26" w14:paraId="14773732" w14:textId="77777777"/>
          <w:p w:rsidR="00A46B26" w:rsidP="00166980" w:rsidRDefault="00A46B26" w14:paraId="3C8D3688" w14:textId="77777777"/>
        </w:tc>
      </w:tr>
      <w:tr w:rsidR="00A46B26" w:rsidTr="5A9AD52C" w14:paraId="6909388E" w14:textId="77777777">
        <w:tc>
          <w:tcPr>
            <w:tcW w:w="3492" w:type="dxa"/>
            <w:gridSpan w:val="3"/>
            <w:tcMar/>
            <w:vAlign w:val="center"/>
          </w:tcPr>
          <w:p w:rsidRPr="00A46B26" w:rsidR="00A46B26" w:rsidP="00A46B26" w:rsidRDefault="00A46B26" w14:paraId="794C4734" w14:textId="77777777">
            <w:pPr>
              <w:jc w:val="center"/>
              <w:rPr>
                <w:b/>
                <w:u w:val="single"/>
              </w:rPr>
            </w:pPr>
            <w:r w:rsidRPr="00A46B26">
              <w:rPr>
                <w:b/>
                <w:u w:val="single"/>
              </w:rPr>
              <w:lastRenderedPageBreak/>
              <w:t>Key Skills Explored</w:t>
            </w:r>
          </w:p>
        </w:tc>
        <w:tc>
          <w:tcPr>
            <w:tcW w:w="3495" w:type="dxa"/>
            <w:gridSpan w:val="4"/>
            <w:tcMar/>
            <w:vAlign w:val="center"/>
          </w:tcPr>
          <w:p w:rsidRPr="00A46B26" w:rsidR="00A46B26" w:rsidP="00A46B26" w:rsidRDefault="00AD595B" w14:paraId="7E549591" w14:textId="77777777">
            <w:pPr>
              <w:jc w:val="center"/>
              <w:rPr>
                <w:b/>
                <w:u w:val="single"/>
              </w:rPr>
            </w:pPr>
            <w:r>
              <w:rPr>
                <w:b/>
                <w:u w:val="single"/>
              </w:rPr>
              <w:t>Vocabulary Selected for DVI</w:t>
            </w:r>
          </w:p>
        </w:tc>
        <w:tc>
          <w:tcPr>
            <w:tcW w:w="3498" w:type="dxa"/>
            <w:gridSpan w:val="3"/>
            <w:tcMar/>
            <w:vAlign w:val="center"/>
          </w:tcPr>
          <w:p w:rsidRPr="00A46B26" w:rsidR="00A46B26" w:rsidP="00A46B26" w:rsidRDefault="00A46B26" w14:paraId="0DFAC94D" w14:textId="77777777">
            <w:pPr>
              <w:jc w:val="center"/>
              <w:rPr>
                <w:b/>
                <w:u w:val="single"/>
              </w:rPr>
            </w:pPr>
            <w:r>
              <w:rPr>
                <w:b/>
                <w:u w:val="single"/>
              </w:rPr>
              <w:t>Links to Previous Unit</w:t>
            </w:r>
          </w:p>
        </w:tc>
      </w:tr>
      <w:tr w:rsidR="00A46B26" w:rsidTr="5A9AD52C" w14:paraId="3EDECF23" w14:textId="77777777">
        <w:tc>
          <w:tcPr>
            <w:tcW w:w="3492" w:type="dxa"/>
            <w:gridSpan w:val="3"/>
            <w:tcMar/>
            <w:vAlign w:val="center"/>
          </w:tcPr>
          <w:p w:rsidRPr="00555FC1" w:rsidR="00A46B26" w:rsidP="00A46B26" w:rsidRDefault="00A46B26" w14:paraId="21CB9886" w14:textId="64CAF7EA">
            <w:pPr>
              <w:jc w:val="center"/>
              <w:rPr>
                <w:bCs/>
                <w:sz w:val="24"/>
                <w:szCs w:val="24"/>
              </w:rPr>
            </w:pPr>
          </w:p>
          <w:p w:rsidR="005A38A3" w:rsidP="009236C6" w:rsidRDefault="000E0585" w14:paraId="64FD2322" w14:textId="492C183B">
            <w:pPr>
              <w:pStyle w:val="ListParagraph"/>
              <w:numPr>
                <w:ilvl w:val="0"/>
                <w:numId w:val="5"/>
              </w:numPr>
              <w:jc w:val="center"/>
              <w:rPr>
                <w:bCs/>
                <w:sz w:val="24"/>
                <w:szCs w:val="24"/>
              </w:rPr>
            </w:pPr>
            <w:r>
              <w:rPr>
                <w:bCs/>
                <w:sz w:val="24"/>
                <w:szCs w:val="24"/>
              </w:rPr>
              <w:t>Deducing relative mass of substances.</w:t>
            </w:r>
          </w:p>
          <w:p w:rsidR="008B4AFF" w:rsidP="009236C6" w:rsidRDefault="008B4AFF" w14:paraId="3BAA618E" w14:textId="50A511CD">
            <w:pPr>
              <w:pStyle w:val="ListParagraph"/>
              <w:numPr>
                <w:ilvl w:val="0"/>
                <w:numId w:val="5"/>
              </w:numPr>
              <w:jc w:val="center"/>
              <w:rPr>
                <w:bCs/>
                <w:sz w:val="24"/>
                <w:szCs w:val="24"/>
              </w:rPr>
            </w:pPr>
            <w:r>
              <w:rPr>
                <w:bCs/>
                <w:sz w:val="24"/>
                <w:szCs w:val="24"/>
              </w:rPr>
              <w:t>Perform simple experimental tests to identify acids, alkali and neutral substances</w:t>
            </w:r>
          </w:p>
          <w:p w:rsidR="008B4AFF" w:rsidP="009236C6" w:rsidRDefault="008B4AFF" w14:paraId="67A8D497" w14:textId="3DDD0132">
            <w:pPr>
              <w:pStyle w:val="ListParagraph"/>
              <w:numPr>
                <w:ilvl w:val="0"/>
                <w:numId w:val="5"/>
              </w:numPr>
              <w:jc w:val="center"/>
              <w:rPr>
                <w:bCs/>
                <w:sz w:val="24"/>
                <w:szCs w:val="24"/>
              </w:rPr>
            </w:pPr>
            <w:r>
              <w:rPr>
                <w:bCs/>
                <w:sz w:val="24"/>
                <w:szCs w:val="24"/>
              </w:rPr>
              <w:t>Prepare dry sample of salt using an acid and insoluble base (Required practical)</w:t>
            </w:r>
          </w:p>
          <w:p w:rsidR="008B4AFF" w:rsidP="009236C6" w:rsidRDefault="008B4AFF" w14:paraId="1BCBCD85" w14:textId="37E88926">
            <w:pPr>
              <w:pStyle w:val="ListParagraph"/>
              <w:numPr>
                <w:ilvl w:val="0"/>
                <w:numId w:val="5"/>
              </w:numPr>
              <w:jc w:val="center"/>
              <w:rPr>
                <w:bCs/>
                <w:sz w:val="24"/>
                <w:szCs w:val="24"/>
              </w:rPr>
            </w:pPr>
            <w:r>
              <w:rPr>
                <w:bCs/>
                <w:sz w:val="24"/>
                <w:szCs w:val="24"/>
              </w:rPr>
              <w:t xml:space="preserve">Make inferences from practical activities and deduce how to improve. </w:t>
            </w:r>
          </w:p>
          <w:p w:rsidRPr="00555FC1" w:rsidR="00A46B26" w:rsidP="00A46B26" w:rsidRDefault="00A46B26" w14:paraId="14B50516" w14:textId="77777777">
            <w:pPr>
              <w:jc w:val="center"/>
              <w:rPr>
                <w:b/>
                <w:sz w:val="24"/>
                <w:szCs w:val="24"/>
                <w:u w:val="single"/>
              </w:rPr>
            </w:pPr>
          </w:p>
          <w:p w:rsidRPr="00555FC1" w:rsidR="00A46B26" w:rsidP="00A46B26" w:rsidRDefault="00A46B26" w14:paraId="7F90C6E0" w14:textId="77777777">
            <w:pPr>
              <w:jc w:val="center"/>
              <w:rPr>
                <w:b/>
                <w:sz w:val="24"/>
                <w:szCs w:val="24"/>
                <w:u w:val="single"/>
              </w:rPr>
            </w:pPr>
          </w:p>
          <w:p w:rsidRPr="00555FC1" w:rsidR="00A46B26" w:rsidP="00A46B26" w:rsidRDefault="00A46B26" w14:paraId="43A4B3CE" w14:textId="77777777">
            <w:pPr>
              <w:rPr>
                <w:b/>
                <w:sz w:val="24"/>
                <w:szCs w:val="24"/>
                <w:u w:val="single"/>
              </w:rPr>
            </w:pPr>
            <w:bookmarkStart w:name="_GoBack" w:id="0"/>
            <w:bookmarkEnd w:id="0"/>
          </w:p>
        </w:tc>
        <w:tc>
          <w:tcPr>
            <w:tcW w:w="3495" w:type="dxa"/>
            <w:gridSpan w:val="4"/>
            <w:tcMar/>
            <w:vAlign w:val="center"/>
          </w:tcPr>
          <w:p w:rsidRPr="008B4AFF" w:rsidR="008B4AFF" w:rsidP="008B4AFF" w:rsidRDefault="008B4AFF" w14:paraId="490D6C0E" w14:textId="77777777">
            <w:pPr>
              <w:shd w:val="clear" w:color="auto" w:fill="FFFFFF"/>
              <w:jc w:val="center"/>
              <w:rPr>
                <w:rFonts w:ascii="Calibri" w:hAnsi="Calibri" w:eastAsia="Times New Roman" w:cs="Calibri"/>
                <w:color w:val="000000"/>
                <w:sz w:val="24"/>
                <w:szCs w:val="24"/>
                <w:lang w:eastAsia="en-GB"/>
              </w:rPr>
            </w:pPr>
            <w:r w:rsidRPr="008B4AFF">
              <w:rPr>
                <w:rFonts w:ascii="Calibri" w:hAnsi="Calibri" w:eastAsia="Times New Roman" w:cs="Calibri"/>
                <w:color w:val="000000"/>
                <w:sz w:val="24"/>
                <w:szCs w:val="24"/>
                <w:lang w:eastAsia="en-GB"/>
              </w:rPr>
              <w:t>reactivity,</w:t>
            </w:r>
          </w:p>
          <w:p w:rsidRPr="008B4AFF" w:rsidR="008B4AFF" w:rsidP="008B4AFF" w:rsidRDefault="008B4AFF" w14:paraId="22F72F27" w14:textId="77777777">
            <w:pPr>
              <w:shd w:val="clear" w:color="auto" w:fill="FFFFFF"/>
              <w:jc w:val="center"/>
              <w:rPr>
                <w:rFonts w:ascii="Calibri" w:hAnsi="Calibri" w:eastAsia="Times New Roman" w:cs="Calibri"/>
                <w:color w:val="000000"/>
                <w:sz w:val="24"/>
                <w:szCs w:val="24"/>
                <w:lang w:eastAsia="en-GB"/>
              </w:rPr>
            </w:pPr>
            <w:r w:rsidRPr="008B4AFF">
              <w:rPr>
                <w:rFonts w:ascii="Calibri" w:hAnsi="Calibri" w:eastAsia="Times New Roman" w:cs="Calibri"/>
                <w:color w:val="000000"/>
                <w:sz w:val="24"/>
                <w:szCs w:val="24"/>
                <w:lang w:eastAsia="en-GB"/>
              </w:rPr>
              <w:t>displacement,</w:t>
            </w:r>
          </w:p>
          <w:p w:rsidRPr="008B4AFF" w:rsidR="008B4AFF" w:rsidP="008B4AFF" w:rsidRDefault="008B4AFF" w14:paraId="7FD8AB61" w14:textId="77777777">
            <w:pPr>
              <w:shd w:val="clear" w:color="auto" w:fill="FFFFFF"/>
              <w:jc w:val="center"/>
              <w:rPr>
                <w:rFonts w:ascii="Calibri" w:hAnsi="Calibri" w:eastAsia="Times New Roman" w:cs="Calibri"/>
                <w:color w:val="000000"/>
                <w:sz w:val="24"/>
                <w:szCs w:val="24"/>
                <w:lang w:eastAsia="en-GB"/>
              </w:rPr>
            </w:pPr>
            <w:r w:rsidRPr="008B4AFF">
              <w:rPr>
                <w:rFonts w:ascii="Calibri" w:hAnsi="Calibri" w:eastAsia="Times New Roman" w:cs="Calibri"/>
                <w:color w:val="000000"/>
                <w:sz w:val="24"/>
                <w:szCs w:val="24"/>
                <w:lang w:eastAsia="en-GB"/>
              </w:rPr>
              <w:t>ore,</w:t>
            </w:r>
          </w:p>
          <w:p w:rsidRPr="008B4AFF" w:rsidR="008B4AFF" w:rsidP="008B4AFF" w:rsidRDefault="008B4AFF" w14:paraId="36339BA1" w14:textId="77777777">
            <w:pPr>
              <w:shd w:val="clear" w:color="auto" w:fill="FFFFFF"/>
              <w:jc w:val="center"/>
              <w:rPr>
                <w:rFonts w:ascii="Calibri" w:hAnsi="Calibri" w:eastAsia="Times New Roman" w:cs="Calibri"/>
                <w:color w:val="000000"/>
                <w:sz w:val="24"/>
                <w:szCs w:val="24"/>
                <w:lang w:eastAsia="en-GB"/>
              </w:rPr>
            </w:pPr>
            <w:r w:rsidRPr="008B4AFF">
              <w:rPr>
                <w:rFonts w:ascii="Calibri" w:hAnsi="Calibri" w:eastAsia="Times New Roman" w:cs="Calibri"/>
                <w:color w:val="000000"/>
                <w:sz w:val="24"/>
                <w:szCs w:val="24"/>
                <w:lang w:eastAsia="en-GB"/>
              </w:rPr>
              <w:t>reduction,</w:t>
            </w:r>
          </w:p>
          <w:p w:rsidRPr="008B4AFF" w:rsidR="008B4AFF" w:rsidP="008B4AFF" w:rsidRDefault="008B4AFF" w14:paraId="74E63ED6" w14:textId="77777777">
            <w:pPr>
              <w:shd w:val="clear" w:color="auto" w:fill="FFFFFF"/>
              <w:jc w:val="center"/>
              <w:rPr>
                <w:rFonts w:ascii="Calibri" w:hAnsi="Calibri" w:eastAsia="Times New Roman" w:cs="Calibri"/>
                <w:color w:val="000000"/>
                <w:sz w:val="24"/>
                <w:szCs w:val="24"/>
                <w:lang w:eastAsia="en-GB"/>
              </w:rPr>
            </w:pPr>
            <w:r w:rsidRPr="008B4AFF">
              <w:rPr>
                <w:rFonts w:ascii="Calibri" w:hAnsi="Calibri" w:eastAsia="Times New Roman" w:cs="Calibri"/>
                <w:color w:val="000000"/>
                <w:sz w:val="24"/>
                <w:szCs w:val="24"/>
                <w:lang w:eastAsia="en-GB"/>
              </w:rPr>
              <w:t>oxidation</w:t>
            </w:r>
          </w:p>
          <w:p w:rsidRPr="005A38A3" w:rsidR="005A38A3" w:rsidP="00A46B26" w:rsidRDefault="005A38A3" w14:paraId="2092CD17" w14:textId="3E75D231">
            <w:pPr>
              <w:jc w:val="center"/>
              <w:rPr>
                <w:sz w:val="24"/>
                <w:szCs w:val="24"/>
              </w:rPr>
            </w:pPr>
          </w:p>
        </w:tc>
        <w:tc>
          <w:tcPr>
            <w:tcW w:w="3498" w:type="dxa"/>
            <w:gridSpan w:val="3"/>
            <w:tcMar/>
            <w:vAlign w:val="center"/>
          </w:tcPr>
          <w:p w:rsidR="008B4AFF" w:rsidP="00A46B26" w:rsidRDefault="008B4AFF" w14:paraId="479162CD" w14:textId="0B8DD9D7">
            <w:pPr>
              <w:jc w:val="center"/>
              <w:rPr>
                <w:bCs/>
                <w:sz w:val="24"/>
                <w:szCs w:val="24"/>
              </w:rPr>
            </w:pPr>
            <w:r>
              <w:rPr>
                <w:bCs/>
                <w:sz w:val="24"/>
                <w:szCs w:val="24"/>
              </w:rPr>
              <w:t xml:space="preserve">In </w:t>
            </w:r>
            <w:r>
              <w:rPr>
                <w:bCs/>
                <w:sz w:val="24"/>
                <w:szCs w:val="24"/>
              </w:rPr>
              <w:t>Autumn</w:t>
            </w:r>
            <w:r>
              <w:rPr>
                <w:bCs/>
                <w:sz w:val="24"/>
                <w:szCs w:val="24"/>
              </w:rPr>
              <w:t xml:space="preserve"> </w:t>
            </w:r>
            <w:r>
              <w:rPr>
                <w:bCs/>
                <w:sz w:val="24"/>
                <w:szCs w:val="24"/>
              </w:rPr>
              <w:t>2</w:t>
            </w:r>
            <w:r>
              <w:rPr>
                <w:bCs/>
                <w:sz w:val="24"/>
                <w:szCs w:val="24"/>
              </w:rPr>
              <w:t xml:space="preserve"> year </w:t>
            </w:r>
            <w:r>
              <w:rPr>
                <w:bCs/>
                <w:sz w:val="24"/>
                <w:szCs w:val="24"/>
              </w:rPr>
              <w:t>8</w:t>
            </w:r>
            <w:r>
              <w:rPr>
                <w:bCs/>
                <w:sz w:val="24"/>
                <w:szCs w:val="24"/>
              </w:rPr>
              <w:t xml:space="preserve"> students explored </w:t>
            </w:r>
            <w:r>
              <w:rPr>
                <w:bCs/>
                <w:sz w:val="24"/>
                <w:szCs w:val="24"/>
              </w:rPr>
              <w:t>Reactants and products</w:t>
            </w:r>
            <w:r>
              <w:rPr>
                <w:bCs/>
                <w:sz w:val="24"/>
                <w:szCs w:val="24"/>
              </w:rPr>
              <w:t>.</w:t>
            </w:r>
          </w:p>
          <w:p w:rsidR="008B4AFF" w:rsidP="00A46B26" w:rsidRDefault="008B4AFF" w14:paraId="71363B69" w14:textId="77777777">
            <w:pPr>
              <w:jc w:val="center"/>
              <w:rPr>
                <w:bCs/>
                <w:sz w:val="24"/>
                <w:szCs w:val="24"/>
              </w:rPr>
            </w:pPr>
          </w:p>
          <w:p w:rsidRPr="00555FC1" w:rsidR="00A46B26" w:rsidP="00A46B26" w:rsidRDefault="005A38A3" w14:paraId="3AD2AA5F" w14:textId="3A1EB84E">
            <w:pPr>
              <w:jc w:val="center"/>
              <w:rPr>
                <w:bCs/>
                <w:sz w:val="24"/>
                <w:szCs w:val="24"/>
              </w:rPr>
            </w:pPr>
            <w:r>
              <w:rPr>
                <w:bCs/>
                <w:sz w:val="24"/>
                <w:szCs w:val="24"/>
              </w:rPr>
              <w:t xml:space="preserve">In </w:t>
            </w:r>
            <w:r w:rsidR="008B4AFF">
              <w:rPr>
                <w:bCs/>
                <w:sz w:val="24"/>
                <w:szCs w:val="24"/>
              </w:rPr>
              <w:t>Spring</w:t>
            </w:r>
            <w:r w:rsidR="000E0585">
              <w:rPr>
                <w:bCs/>
                <w:sz w:val="24"/>
                <w:szCs w:val="24"/>
              </w:rPr>
              <w:t xml:space="preserve"> 1 year 9 students explored </w:t>
            </w:r>
            <w:r w:rsidR="008B4AFF">
              <w:rPr>
                <w:bCs/>
                <w:sz w:val="24"/>
                <w:szCs w:val="24"/>
              </w:rPr>
              <w:t>Structure and Bonding</w:t>
            </w:r>
            <w:r w:rsidR="000E0585">
              <w:rPr>
                <w:bCs/>
                <w:sz w:val="24"/>
                <w:szCs w:val="24"/>
              </w:rPr>
              <w:t>.</w:t>
            </w:r>
          </w:p>
        </w:tc>
      </w:tr>
      <w:tr w:rsidR="00A46B26" w:rsidTr="5A9AD52C" w14:paraId="1E113C6C" w14:textId="77777777">
        <w:tc>
          <w:tcPr>
            <w:tcW w:w="3492" w:type="dxa"/>
            <w:gridSpan w:val="3"/>
            <w:tcMar/>
            <w:vAlign w:val="center"/>
          </w:tcPr>
          <w:p w:rsidR="00A46B26" w:rsidP="00A46B26" w:rsidRDefault="00A46B26" w14:paraId="04BD3647" w14:textId="77777777">
            <w:pPr>
              <w:jc w:val="center"/>
              <w:rPr>
                <w:b/>
                <w:u w:val="single"/>
              </w:rPr>
            </w:pPr>
            <w:r>
              <w:rPr>
                <w:b/>
                <w:u w:val="single"/>
              </w:rPr>
              <w:t>Links to Careers/Employability</w:t>
            </w:r>
          </w:p>
        </w:tc>
        <w:tc>
          <w:tcPr>
            <w:tcW w:w="6993" w:type="dxa"/>
            <w:gridSpan w:val="7"/>
            <w:tcMar/>
            <w:vAlign w:val="center"/>
          </w:tcPr>
          <w:p w:rsidRPr="00A46B26" w:rsidR="00A46B26" w:rsidP="00A46B26" w:rsidRDefault="00A46B26" w14:paraId="69D7FCFC" w14:textId="77777777">
            <w:pPr>
              <w:jc w:val="center"/>
              <w:rPr>
                <w:b/>
                <w:u w:val="single"/>
              </w:rPr>
            </w:pPr>
            <w:r>
              <w:rPr>
                <w:b/>
                <w:u w:val="single"/>
              </w:rPr>
              <w:t>How does this unit prepare students for the next unit?</w:t>
            </w:r>
          </w:p>
        </w:tc>
      </w:tr>
      <w:tr w:rsidR="00A46B26" w:rsidTr="5A9AD52C" w14:paraId="7DA832C4" w14:textId="77777777">
        <w:trPr>
          <w:trHeight w:val="1153"/>
        </w:trPr>
        <w:tc>
          <w:tcPr>
            <w:tcW w:w="3492" w:type="dxa"/>
            <w:gridSpan w:val="3"/>
            <w:tcMar/>
            <w:vAlign w:val="center"/>
          </w:tcPr>
          <w:p w:rsidR="00A46B26" w:rsidP="00A46B26" w:rsidRDefault="00A46B26" w14:paraId="1647ABCA" w14:textId="77777777">
            <w:pPr>
              <w:jc w:val="center"/>
              <w:rPr>
                <w:b/>
                <w:u w:val="single"/>
              </w:rPr>
            </w:pPr>
          </w:p>
          <w:p w:rsidR="005F1395" w:rsidP="00A46B26" w:rsidRDefault="005F1395" w14:paraId="46C42176" w14:textId="5B05FAA0">
            <w:pPr>
              <w:jc w:val="center"/>
            </w:pPr>
            <w:r>
              <w:t xml:space="preserve">Chemical Technician </w:t>
            </w:r>
          </w:p>
          <w:p w:rsidR="005F1395" w:rsidP="00A46B26" w:rsidRDefault="005F1395" w14:paraId="0F6CA7D7" w14:textId="4B0A00BD">
            <w:pPr>
              <w:jc w:val="center"/>
            </w:pPr>
            <w:r>
              <w:t xml:space="preserve">Environmentalist </w:t>
            </w:r>
          </w:p>
          <w:p w:rsidR="005F1395" w:rsidP="00A46B26" w:rsidRDefault="005F1395" w14:paraId="59CB2C6C" w14:textId="4701FBF4">
            <w:pPr>
              <w:jc w:val="center"/>
            </w:pPr>
            <w:r>
              <w:t>Pool Maintenance</w:t>
            </w:r>
          </w:p>
          <w:p w:rsidRPr="008B4AFF" w:rsidR="005F1395" w:rsidP="00A46B26" w:rsidRDefault="005F1395" w14:paraId="322BA3F9" w14:textId="21EA2A0A">
            <w:pPr>
              <w:jc w:val="center"/>
            </w:pPr>
            <w:r>
              <w:t xml:space="preserve">Chemical Manufacturer </w:t>
            </w:r>
          </w:p>
          <w:p w:rsidR="00A46B26" w:rsidP="00A46B26" w:rsidRDefault="00A46B26" w14:paraId="4D739D3F" w14:textId="77777777">
            <w:pPr>
              <w:jc w:val="center"/>
              <w:rPr>
                <w:b/>
                <w:u w:val="single"/>
              </w:rPr>
            </w:pPr>
          </w:p>
          <w:p w:rsidR="00A46B26" w:rsidP="00A46B26" w:rsidRDefault="00A46B26" w14:paraId="67645BE4" w14:textId="77777777">
            <w:pPr>
              <w:rPr>
                <w:b/>
                <w:u w:val="single"/>
              </w:rPr>
            </w:pPr>
          </w:p>
          <w:p w:rsidRPr="00A46B26" w:rsidR="00A46B26" w:rsidP="00501DFE" w:rsidRDefault="00A46B26" w14:paraId="232BB1FF" w14:textId="77777777">
            <w:pPr>
              <w:rPr>
                <w:b/>
                <w:u w:val="single"/>
              </w:rPr>
            </w:pPr>
          </w:p>
        </w:tc>
        <w:tc>
          <w:tcPr>
            <w:tcW w:w="6993" w:type="dxa"/>
            <w:gridSpan w:val="7"/>
            <w:tcMar/>
            <w:vAlign w:val="center"/>
          </w:tcPr>
          <w:p w:rsidRPr="00555FC1" w:rsidR="00A46B26" w:rsidP="00A46B26" w:rsidRDefault="00555FC1" w14:paraId="5E585455" w14:textId="41157F61">
            <w:pPr>
              <w:rPr>
                <w:bCs/>
                <w:sz w:val="24"/>
                <w:szCs w:val="24"/>
              </w:rPr>
            </w:pPr>
            <w:r w:rsidRPr="00555FC1">
              <w:rPr>
                <w:bCs/>
                <w:sz w:val="24"/>
                <w:szCs w:val="24"/>
              </w:rPr>
              <w:t xml:space="preserve">Students’ successful completion of these learning objectives will prepare them for </w:t>
            </w:r>
            <w:r w:rsidR="005A38A3">
              <w:rPr>
                <w:bCs/>
                <w:sz w:val="24"/>
                <w:szCs w:val="24"/>
              </w:rPr>
              <w:t xml:space="preserve">the unit of </w:t>
            </w:r>
            <w:r w:rsidR="005F1395">
              <w:rPr>
                <w:bCs/>
                <w:sz w:val="24"/>
                <w:szCs w:val="24"/>
              </w:rPr>
              <w:t>Electrolysis</w:t>
            </w:r>
            <w:r w:rsidR="000E0585">
              <w:rPr>
                <w:bCs/>
                <w:sz w:val="24"/>
                <w:szCs w:val="24"/>
              </w:rPr>
              <w:t xml:space="preserve"> where students will look at how </w:t>
            </w:r>
            <w:r w:rsidR="005F1395">
              <w:rPr>
                <w:bCs/>
                <w:sz w:val="24"/>
                <w:szCs w:val="24"/>
              </w:rPr>
              <w:t xml:space="preserve">to extract highly reactive elements such as aluminium from its ore. </w:t>
            </w:r>
          </w:p>
        </w:tc>
      </w:tr>
    </w:tbl>
    <w:p w:rsidRPr="005420A2" w:rsidR="002F34DF" w:rsidRDefault="002F34DF" w14:paraId="38B08D01" w14:textId="203B9617">
      <w:pPr>
        <w:rPr>
          <w:sz w:val="24"/>
        </w:rPr>
      </w:pPr>
    </w:p>
    <w:p w:rsidRPr="005420A2" w:rsidR="005420A2" w:rsidRDefault="005420A2" w14:paraId="28F9C075" w14:textId="29A17C8C">
      <w:pPr>
        <w:rPr>
          <w:sz w:val="24"/>
        </w:rPr>
      </w:pPr>
      <w:r w:rsidRPr="005420A2">
        <w:rPr>
          <w:sz w:val="24"/>
        </w:rPr>
        <w:t xml:space="preserve">KO </w:t>
      </w:r>
    </w:p>
    <w:p w:rsidR="005420A2" w:rsidRDefault="005420A2" w14:paraId="3C417260" w14:textId="557AF79F">
      <w:pPr>
        <w:rPr>
          <w:sz w:val="24"/>
        </w:rPr>
      </w:pPr>
      <w:r>
        <w:rPr>
          <w:sz w:val="24"/>
        </w:rPr>
        <w:t>Black (all)</w:t>
      </w:r>
    </w:p>
    <w:p w:rsidRPr="005420A2" w:rsidR="005420A2" w:rsidRDefault="005420A2" w14:paraId="697A690C" w14:textId="3DD6D0F2">
      <w:pPr>
        <w:rPr>
          <w:color w:val="538135" w:themeColor="accent6" w:themeShade="BF"/>
          <w:sz w:val="24"/>
        </w:rPr>
      </w:pPr>
      <w:r>
        <w:rPr>
          <w:sz w:val="24"/>
        </w:rPr>
        <w:t>Higher (</w:t>
      </w:r>
      <w:r w:rsidRPr="005420A2">
        <w:rPr>
          <w:color w:val="538135" w:themeColor="accent6" w:themeShade="BF"/>
          <w:sz w:val="24"/>
        </w:rPr>
        <w:t>Dark green)</w:t>
      </w:r>
    </w:p>
    <w:p w:rsidRPr="005420A2" w:rsidR="005420A2" w:rsidRDefault="005420A2" w14:paraId="751AA07D" w14:textId="6C0EDC19">
      <w:pPr>
        <w:rPr>
          <w:sz w:val="24"/>
        </w:rPr>
      </w:pPr>
      <w:r>
        <w:rPr>
          <w:sz w:val="24"/>
        </w:rPr>
        <w:t>Triple (</w:t>
      </w:r>
      <w:r w:rsidRPr="005420A2">
        <w:rPr>
          <w:color w:val="C00000"/>
          <w:sz w:val="24"/>
        </w:rPr>
        <w:t>Maroon / burgundy</w:t>
      </w:r>
      <w:r>
        <w:rPr>
          <w:sz w:val="24"/>
        </w:rPr>
        <w:t>)</w:t>
      </w:r>
    </w:p>
    <w:sectPr w:rsidRPr="005420A2" w:rsidR="005420A2" w:rsidSect="00166980">
      <w:pgSz w:w="11906" w:h="16838" w:orient="portrait"/>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5A"/>
    <w:multiLevelType w:val="hybridMultilevel"/>
    <w:tmpl w:val="6088D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896C39"/>
    <w:multiLevelType w:val="hybridMultilevel"/>
    <w:tmpl w:val="36C6D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AE32E9"/>
    <w:multiLevelType w:val="hybridMultilevel"/>
    <w:tmpl w:val="ABF2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A04B1"/>
    <w:multiLevelType w:val="hybridMultilevel"/>
    <w:tmpl w:val="39B686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AF454E"/>
    <w:multiLevelType w:val="hybridMultilevel"/>
    <w:tmpl w:val="01EC38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15D41"/>
    <w:rsid w:val="000E0585"/>
    <w:rsid w:val="00166980"/>
    <w:rsid w:val="00202BF9"/>
    <w:rsid w:val="00217C2E"/>
    <w:rsid w:val="002F34DF"/>
    <w:rsid w:val="00501DFE"/>
    <w:rsid w:val="005420A2"/>
    <w:rsid w:val="00555FC1"/>
    <w:rsid w:val="005A38A3"/>
    <w:rsid w:val="005F1395"/>
    <w:rsid w:val="00623F8C"/>
    <w:rsid w:val="006D174A"/>
    <w:rsid w:val="007B5DCF"/>
    <w:rsid w:val="008B4AFF"/>
    <w:rsid w:val="009236C6"/>
    <w:rsid w:val="00A46B26"/>
    <w:rsid w:val="00AA683A"/>
    <w:rsid w:val="00AD595B"/>
    <w:rsid w:val="00B8361C"/>
    <w:rsid w:val="00B91DDD"/>
    <w:rsid w:val="00FC599F"/>
    <w:rsid w:val="5A9AD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669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23457">
      <w:bodyDiv w:val="1"/>
      <w:marLeft w:val="0"/>
      <w:marRight w:val="0"/>
      <w:marTop w:val="0"/>
      <w:marBottom w:val="0"/>
      <w:divBdr>
        <w:top w:val="none" w:sz="0" w:space="0" w:color="auto"/>
        <w:left w:val="none" w:sz="0" w:space="0" w:color="auto"/>
        <w:bottom w:val="none" w:sz="0" w:space="0" w:color="auto"/>
        <w:right w:val="none" w:sz="0" w:space="0" w:color="auto"/>
      </w:divBdr>
    </w:div>
    <w:div w:id="865601984">
      <w:bodyDiv w:val="1"/>
      <w:marLeft w:val="0"/>
      <w:marRight w:val="0"/>
      <w:marTop w:val="0"/>
      <w:marBottom w:val="0"/>
      <w:divBdr>
        <w:top w:val="none" w:sz="0" w:space="0" w:color="auto"/>
        <w:left w:val="none" w:sz="0" w:space="0" w:color="auto"/>
        <w:bottom w:val="none" w:sz="0" w:space="0" w:color="auto"/>
        <w:right w:val="none" w:sz="0" w:space="0" w:color="auto"/>
      </w:divBdr>
    </w:div>
    <w:div w:id="1341850690">
      <w:bodyDiv w:val="1"/>
      <w:marLeft w:val="0"/>
      <w:marRight w:val="0"/>
      <w:marTop w:val="0"/>
      <w:marBottom w:val="0"/>
      <w:divBdr>
        <w:top w:val="none" w:sz="0" w:space="0" w:color="auto"/>
        <w:left w:val="none" w:sz="0" w:space="0" w:color="auto"/>
        <w:bottom w:val="none" w:sz="0" w:space="0" w:color="auto"/>
        <w:right w:val="none" w:sz="0" w:space="0" w:color="auto"/>
      </w:divBdr>
      <w:divsChild>
        <w:div w:id="1991013983">
          <w:marLeft w:val="0"/>
          <w:marRight w:val="0"/>
          <w:marTop w:val="0"/>
          <w:marBottom w:val="0"/>
          <w:divBdr>
            <w:top w:val="none" w:sz="0" w:space="0" w:color="auto"/>
            <w:left w:val="none" w:sz="0" w:space="0" w:color="auto"/>
            <w:bottom w:val="none" w:sz="0" w:space="0" w:color="auto"/>
            <w:right w:val="none" w:sz="0" w:space="0" w:color="auto"/>
          </w:divBdr>
        </w:div>
      </w:divsChild>
    </w:div>
    <w:div w:id="1475028916">
      <w:bodyDiv w:val="1"/>
      <w:marLeft w:val="0"/>
      <w:marRight w:val="0"/>
      <w:marTop w:val="0"/>
      <w:marBottom w:val="0"/>
      <w:divBdr>
        <w:top w:val="none" w:sz="0" w:space="0" w:color="auto"/>
        <w:left w:val="none" w:sz="0" w:space="0" w:color="auto"/>
        <w:bottom w:val="none" w:sz="0" w:space="0" w:color="auto"/>
        <w:right w:val="none" w:sz="0" w:space="0" w:color="auto"/>
      </w:divBdr>
    </w:div>
    <w:div w:id="19683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
        <AccountId xsi:nil="true"/>
        <AccountType/>
      </UserInfo>
    </SharedWithUsers>
  </documentManagement>
</p:properties>
</file>

<file path=customXml/itemProps1.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2.xml><?xml version="1.0" encoding="utf-8"?>
<ds:datastoreItem xmlns:ds="http://schemas.openxmlformats.org/officeDocument/2006/customXml" ds:itemID="{23DE871A-8D6A-4873-8879-A07327A8D895}"/>
</file>

<file path=customXml/itemProps3.xml><?xml version="1.0" encoding="utf-8"?>
<ds:datastoreItem xmlns:ds="http://schemas.openxmlformats.org/officeDocument/2006/customXml" ds:itemID="{95699B39-A758-4BF6-BE16-54357DC65431}">
  <ds:schemaRefs>
    <ds:schemaRef ds:uri="87479283-8fd9-4aff-b19f-38b2bc709453"/>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68c5841a-5909-4d2f-a544-c309ae69ac5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Shanay Brown-Whitehorne (St Marks)</cp:lastModifiedBy>
  <cp:revision>4</cp:revision>
  <cp:lastPrinted>2022-02-23T15:20:00Z</cp:lastPrinted>
  <dcterms:created xsi:type="dcterms:W3CDTF">2022-06-20T15:25:00Z</dcterms:created>
  <dcterms:modified xsi:type="dcterms:W3CDTF">2022-06-24T09:52:20Z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MediaServiceImageTags">
    <vt:lpwstr/>
  </property>
  <property fmtid="{D5CDD505-2E9C-101B-9397-08002B2CF9AE}" pid="4" name="Order">
    <vt:r8>265600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