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1270"/>
        <w:gridCol w:w="1109"/>
        <w:gridCol w:w="1113"/>
        <w:gridCol w:w="1111"/>
        <w:gridCol w:w="1110"/>
        <w:gridCol w:w="1110"/>
        <w:gridCol w:w="164"/>
        <w:gridCol w:w="947"/>
        <w:gridCol w:w="1842"/>
        <w:gridCol w:w="709"/>
      </w:tblGrid>
      <w:tr w:rsidR="00166980" w:rsidTr="2CF9AFE7" w14:paraId="1C2E822E" w14:textId="77777777">
        <w:trPr>
          <w:trHeight w:val="416"/>
        </w:trPr>
        <w:tc>
          <w:tcPr>
            <w:tcW w:w="10485" w:type="dxa"/>
            <w:gridSpan w:val="10"/>
            <w:tcMar/>
            <w:vAlign w:val="center"/>
          </w:tcPr>
          <w:p w:rsidRPr="00166980" w:rsidR="00166980" w:rsidP="00166980" w:rsidRDefault="00166980" w14:paraId="33B0AECB" w14:textId="3CB8CBB5">
            <w:pPr>
              <w:rPr>
                <w:b/>
              </w:rPr>
            </w:pPr>
            <w:r w:rsidRPr="00166980">
              <w:rPr>
                <w:b/>
              </w:rPr>
              <w:t>Unit Overview:</w:t>
            </w:r>
            <w:r w:rsidR="00015D41">
              <w:rPr>
                <w:b/>
              </w:rPr>
              <w:t xml:space="preserve"> </w:t>
            </w:r>
            <w:r w:rsidR="005A38A3">
              <w:rPr>
                <w:b/>
              </w:rPr>
              <w:t>C</w:t>
            </w:r>
            <w:r w:rsidR="000E0585">
              <w:rPr>
                <w:b/>
              </w:rPr>
              <w:t>4</w:t>
            </w:r>
            <w:r w:rsidR="005A38A3">
              <w:rPr>
                <w:b/>
              </w:rPr>
              <w:t xml:space="preserve">: </w:t>
            </w:r>
            <w:r w:rsidR="000E0585">
              <w:rPr>
                <w:b/>
              </w:rPr>
              <w:t xml:space="preserve">Quantitative Chemistry </w:t>
            </w:r>
          </w:p>
        </w:tc>
      </w:tr>
      <w:tr w:rsidR="00166980" w:rsidTr="2CF9AFE7" w14:paraId="2CFBA4A4" w14:textId="77777777">
        <w:trPr>
          <w:trHeight w:val="419"/>
        </w:trPr>
        <w:tc>
          <w:tcPr>
            <w:tcW w:w="1270" w:type="dxa"/>
            <w:tcMar/>
            <w:vAlign w:val="center"/>
          </w:tcPr>
          <w:p w:rsidRPr="00166980" w:rsidR="00166980" w:rsidP="00166980" w:rsidRDefault="00166980" w14:paraId="3F44EFC9" w14:textId="77777777">
            <w:pPr>
              <w:rPr>
                <w:b/>
              </w:rPr>
            </w:pPr>
            <w:r w:rsidRPr="00166980">
              <w:rPr>
                <w:b/>
              </w:rPr>
              <w:t>Half- Term:</w:t>
            </w:r>
          </w:p>
        </w:tc>
        <w:tc>
          <w:tcPr>
            <w:tcW w:w="1109" w:type="dxa"/>
            <w:shd w:val="clear" w:color="auto" w:fill="FFFF00"/>
            <w:tcMar/>
            <w:vAlign w:val="center"/>
          </w:tcPr>
          <w:p w:rsidRPr="00166980" w:rsidR="00166980" w:rsidP="00166980" w:rsidRDefault="00166980" w14:paraId="52AFBA06" w14:textId="77777777">
            <w:pPr>
              <w:jc w:val="center"/>
            </w:pPr>
            <w:r w:rsidRPr="00166980">
              <w:t>AUT 1</w:t>
            </w:r>
          </w:p>
        </w:tc>
        <w:tc>
          <w:tcPr>
            <w:tcW w:w="1113" w:type="dxa"/>
            <w:tcMar/>
            <w:vAlign w:val="center"/>
          </w:tcPr>
          <w:p w:rsidRPr="00166980" w:rsidR="00166980" w:rsidP="00166980" w:rsidRDefault="00166980" w14:paraId="3A806760" w14:textId="77777777" w14:noSpellErr="1">
            <w:pPr>
              <w:jc w:val="center"/>
            </w:pPr>
            <w:r w:rsidR="00166980">
              <w:rPr/>
              <w:t>AUT 2</w:t>
            </w:r>
          </w:p>
        </w:tc>
        <w:tc>
          <w:tcPr>
            <w:tcW w:w="1111" w:type="dxa"/>
            <w:tcMar/>
            <w:vAlign w:val="center"/>
          </w:tcPr>
          <w:p w:rsidRPr="00166980" w:rsidR="00166980" w:rsidP="00166980" w:rsidRDefault="00166980" w14:paraId="6B0A96A1" w14:textId="77777777">
            <w:pPr>
              <w:jc w:val="center"/>
            </w:pPr>
            <w:r w:rsidRPr="00166980">
              <w:t>SPR 1</w:t>
            </w:r>
          </w:p>
        </w:tc>
        <w:tc>
          <w:tcPr>
            <w:tcW w:w="1110" w:type="dxa"/>
            <w:tcMar/>
            <w:vAlign w:val="center"/>
          </w:tcPr>
          <w:p w:rsidRPr="00166980" w:rsidR="00166980" w:rsidP="00166980" w:rsidRDefault="00166980" w14:paraId="104186A4" w14:textId="77777777">
            <w:pPr>
              <w:jc w:val="center"/>
            </w:pPr>
            <w:r w:rsidRPr="005A38A3">
              <w:t>SPR 2</w:t>
            </w:r>
          </w:p>
        </w:tc>
        <w:tc>
          <w:tcPr>
            <w:tcW w:w="1110" w:type="dxa"/>
            <w:tcMar/>
            <w:vAlign w:val="center"/>
          </w:tcPr>
          <w:p w:rsidRPr="00166980" w:rsidR="00166980" w:rsidP="00166980" w:rsidRDefault="00166980" w14:paraId="3CD707A3" w14:textId="77777777">
            <w:pPr>
              <w:jc w:val="center"/>
            </w:pPr>
            <w:r w:rsidRPr="00166980">
              <w:t>SUM 1</w:t>
            </w:r>
          </w:p>
        </w:tc>
        <w:tc>
          <w:tcPr>
            <w:tcW w:w="1111" w:type="dxa"/>
            <w:gridSpan w:val="2"/>
            <w:tcMar/>
            <w:vAlign w:val="center"/>
          </w:tcPr>
          <w:p w:rsidRPr="00166980" w:rsidR="00166980" w:rsidP="00166980" w:rsidRDefault="00166980" w14:paraId="204CCBB0" w14:textId="77777777">
            <w:pPr>
              <w:jc w:val="center"/>
            </w:pPr>
            <w:r w:rsidRPr="00166980">
              <w:t>SUM 2</w:t>
            </w:r>
          </w:p>
        </w:tc>
        <w:tc>
          <w:tcPr>
            <w:tcW w:w="1842" w:type="dxa"/>
            <w:tcMar/>
            <w:vAlign w:val="center"/>
          </w:tcPr>
          <w:p w:rsidRPr="00166980" w:rsidR="00166980" w:rsidP="00166980" w:rsidRDefault="00166980" w14:paraId="3D2EDFC0" w14:textId="77777777">
            <w:pPr>
              <w:rPr>
                <w:b/>
              </w:rPr>
            </w:pPr>
            <w:r w:rsidRPr="00166980">
              <w:rPr>
                <w:b/>
              </w:rPr>
              <w:t>No of Lessons:</w:t>
            </w:r>
          </w:p>
        </w:tc>
        <w:tc>
          <w:tcPr>
            <w:tcW w:w="709" w:type="dxa"/>
            <w:tcMar/>
            <w:vAlign w:val="center"/>
          </w:tcPr>
          <w:p w:rsidRPr="00166980" w:rsidR="00166980" w:rsidP="00166980" w:rsidRDefault="00015D41" w14:paraId="4A4AA729" w14:textId="0E0FE45E">
            <w:pPr>
              <w:rPr>
                <w:b/>
              </w:rPr>
            </w:pPr>
            <w:r>
              <w:rPr>
                <w:b/>
              </w:rPr>
              <w:t>11</w:t>
            </w:r>
          </w:p>
        </w:tc>
      </w:tr>
      <w:tr w:rsidR="00166980" w:rsidTr="2CF9AFE7" w14:paraId="0DDB5018" w14:textId="77777777">
        <w:trPr>
          <w:trHeight w:val="424"/>
        </w:trPr>
        <w:tc>
          <w:tcPr>
            <w:tcW w:w="10485" w:type="dxa"/>
            <w:gridSpan w:val="10"/>
            <w:tcMar/>
            <w:vAlign w:val="center"/>
          </w:tcPr>
          <w:p w:rsidRPr="00166980" w:rsidR="00166980" w:rsidP="00166980" w:rsidRDefault="00166980" w14:paraId="4CE7EBC3" w14:textId="12B898FB">
            <w:pPr>
              <w:jc w:val="center"/>
              <w:rPr>
                <w:b/>
                <w:u w:val="single"/>
              </w:rPr>
            </w:pPr>
            <w:r w:rsidRPr="00166980">
              <w:rPr>
                <w:b/>
                <w:u w:val="single"/>
              </w:rPr>
              <w:t>Key Focus for Unit:</w:t>
            </w:r>
            <w:r w:rsidR="00015D41">
              <w:rPr>
                <w:b/>
                <w:u w:val="single"/>
              </w:rPr>
              <w:t xml:space="preserve"> </w:t>
            </w:r>
          </w:p>
          <w:p w:rsidR="00A46B26" w:rsidP="00166980" w:rsidRDefault="00166980" w14:paraId="784C7CEA" w14:textId="77777777">
            <w:pPr>
              <w:jc w:val="center"/>
              <w:rPr>
                <w:i/>
              </w:rPr>
            </w:pPr>
            <w:r w:rsidRPr="007B5DCF">
              <w:rPr>
                <w:i/>
              </w:rPr>
              <w:t xml:space="preserve">What is the key knowledge being delivered? </w:t>
            </w:r>
          </w:p>
          <w:p w:rsidRPr="007B5DCF" w:rsidR="00166980" w:rsidP="00166980" w:rsidRDefault="00166980" w14:paraId="29611E7C" w14:textId="77777777">
            <w:pPr>
              <w:jc w:val="center"/>
              <w:rPr>
                <w:i/>
              </w:rPr>
            </w:pPr>
            <w:r w:rsidRPr="007B5DCF">
              <w:rPr>
                <w:i/>
              </w:rPr>
              <w:t>What is the intent of this unit?</w:t>
            </w:r>
          </w:p>
        </w:tc>
      </w:tr>
      <w:tr w:rsidR="00166980" w:rsidTr="2CF9AFE7" w14:paraId="5C8B9480" w14:textId="77777777">
        <w:trPr>
          <w:trHeight w:val="1256"/>
        </w:trPr>
        <w:tc>
          <w:tcPr>
            <w:tcW w:w="10485" w:type="dxa"/>
            <w:gridSpan w:val="10"/>
            <w:tcMar/>
            <w:vAlign w:val="center"/>
          </w:tcPr>
          <w:p w:rsidR="000E0585" w:rsidP="005A38A3" w:rsidRDefault="000E0585" w14:paraId="794A5D3B" w14:textId="7854C12E">
            <w:r>
              <w:t xml:space="preserve">Students will learn about representation of elements and compounds based on their relative masses. Students will tap into knowledge from year 9 Autumn 1 when they learnt about the periodic table and mass numbers. </w:t>
            </w:r>
          </w:p>
          <w:p w:rsidR="000E0585" w:rsidP="005A38A3" w:rsidRDefault="000E0585" w14:paraId="668401C3" w14:textId="625BCDEA">
            <w:r>
              <w:t xml:space="preserve">A key mathematical skill is the ability of students to do basic computation of addition and multiplication to deduce the relative and percentage mass of substances. </w:t>
            </w:r>
          </w:p>
          <w:p w:rsidR="000E0585" w:rsidP="005A38A3" w:rsidRDefault="000E0585" w14:paraId="76F76D96" w14:textId="47B5AB44">
            <w:r>
              <w:t xml:space="preserve">A key aspect of quantitative chemistry is for students to do computation in a number of steps especially where balanced equations are concerned. Students will be engaged with concepts related to using balanced chemical equations to deduce the mass and volume of substances produced in a chemical reaction. </w:t>
            </w:r>
          </w:p>
          <w:p w:rsidR="005A38A3" w:rsidP="005A38A3" w:rsidRDefault="000E0585" w14:paraId="5FCB1167" w14:textId="63748CC5">
            <w:r>
              <w:t>The intent of this unit is to make cross-curricular</w:t>
            </w:r>
            <w:r w:rsidR="005A38A3">
              <w:t xml:space="preserve">   </w:t>
            </w:r>
            <w:r>
              <w:t>links to mathematical based equations to solve chemical problems related to elements and compounds in a chemical reaction.</w:t>
            </w:r>
          </w:p>
          <w:p w:rsidR="005A38A3" w:rsidP="005A38A3" w:rsidRDefault="005A38A3" w14:paraId="0C678ACA" w14:textId="77777777">
            <w:r>
              <w:tab/>
            </w:r>
          </w:p>
          <w:p w:rsidR="005A38A3" w:rsidP="005A38A3" w:rsidRDefault="005A38A3" w14:paraId="7B443036" w14:textId="77777777">
            <w:r>
              <w:tab/>
            </w:r>
          </w:p>
          <w:p w:rsidR="005420A2" w:rsidP="005A38A3" w:rsidRDefault="005A38A3" w14:paraId="49A71B5C" w14:textId="01FA76BD">
            <w:r>
              <w:tab/>
            </w:r>
          </w:p>
          <w:p w:rsidR="00A46B26" w:rsidP="00166980" w:rsidRDefault="00A46B26" w14:paraId="3DCC2F0F" w14:textId="77777777"/>
          <w:p w:rsidR="00A46B26" w:rsidP="00166980" w:rsidRDefault="00A46B26" w14:paraId="5D361968" w14:textId="77777777"/>
          <w:p w:rsidR="00A46B26" w:rsidP="00166980" w:rsidRDefault="00A46B26" w14:paraId="7F798524" w14:textId="77777777"/>
          <w:p w:rsidR="00A46B26" w:rsidP="00166980" w:rsidRDefault="00A46B26" w14:paraId="73F5B887" w14:textId="77777777"/>
          <w:p w:rsidR="00A46B26" w:rsidP="00166980" w:rsidRDefault="00A46B26" w14:paraId="34B4F606" w14:textId="77777777"/>
          <w:p w:rsidR="00A46B26" w:rsidP="00166980" w:rsidRDefault="00A46B26" w14:paraId="1D4F1C13" w14:textId="77777777"/>
          <w:p w:rsidR="00A46B26" w:rsidP="00166980" w:rsidRDefault="00A46B26" w14:paraId="7EF4BAD9" w14:textId="77777777"/>
          <w:p w:rsidR="00A46B26" w:rsidP="00166980" w:rsidRDefault="00A46B26" w14:paraId="0DB10EA5" w14:textId="77777777"/>
        </w:tc>
      </w:tr>
      <w:tr w:rsidR="00A46B26" w:rsidTr="2CF9AFE7" w14:paraId="623D560E" w14:textId="77777777">
        <w:trPr>
          <w:trHeight w:val="441"/>
        </w:trPr>
        <w:tc>
          <w:tcPr>
            <w:tcW w:w="10485" w:type="dxa"/>
            <w:gridSpan w:val="10"/>
            <w:tcMar/>
            <w:vAlign w:val="center"/>
          </w:tcPr>
          <w:p w:rsidR="00A46B26" w:rsidP="00A46B26" w:rsidRDefault="00A46B26" w14:paraId="71CCD40E" w14:textId="77777777">
            <w:pPr>
              <w:jc w:val="center"/>
              <w:rPr>
                <w:b/>
                <w:u w:val="single"/>
              </w:rPr>
            </w:pPr>
            <w:r w:rsidRPr="00A46B26">
              <w:rPr>
                <w:b/>
                <w:u w:val="single"/>
              </w:rPr>
              <w:t>Key Knowledge and Big Ideas:</w:t>
            </w:r>
          </w:p>
          <w:p w:rsidR="00A46B26" w:rsidP="00A46B26" w:rsidRDefault="00A46B26" w14:paraId="59F009F5" w14:textId="77777777">
            <w:pPr>
              <w:jc w:val="center"/>
              <w:rPr>
                <w:i/>
              </w:rPr>
            </w:pPr>
            <w:r>
              <w:rPr>
                <w:i/>
              </w:rPr>
              <w:t xml:space="preserve"> What </w:t>
            </w:r>
            <w:r w:rsidRPr="006D174A">
              <w:rPr>
                <w:b/>
                <w:bCs/>
                <w:i/>
              </w:rPr>
              <w:t>Powerful Knowledge</w:t>
            </w:r>
            <w:r>
              <w:rPr>
                <w:i/>
              </w:rPr>
              <w:t xml:space="preserve"> and </w:t>
            </w:r>
            <w:r w:rsidRPr="006D174A">
              <w:rPr>
                <w:b/>
                <w:bCs/>
                <w:i/>
              </w:rPr>
              <w:t>Big Ideas</w:t>
            </w:r>
            <w:r>
              <w:rPr>
                <w:i/>
              </w:rPr>
              <w:t xml:space="preserve"> are</w:t>
            </w:r>
            <w:r w:rsidRPr="00A46B26">
              <w:rPr>
                <w:i/>
              </w:rPr>
              <w:t xml:space="preserve"> </w:t>
            </w:r>
            <w:r>
              <w:rPr>
                <w:i/>
              </w:rPr>
              <w:t>e</w:t>
            </w:r>
            <w:r w:rsidRPr="00A46B26">
              <w:rPr>
                <w:i/>
              </w:rPr>
              <w:t>xplore</w:t>
            </w:r>
            <w:r>
              <w:rPr>
                <w:i/>
              </w:rPr>
              <w:t>d</w:t>
            </w:r>
            <w:r w:rsidRPr="00A46B26">
              <w:rPr>
                <w:i/>
              </w:rPr>
              <w:t xml:space="preserve"> in this Unit? </w:t>
            </w:r>
          </w:p>
          <w:p w:rsidRPr="00A46B26" w:rsidR="00A46B26" w:rsidP="00A46B26" w:rsidRDefault="00A46B26" w14:paraId="68BAD2FE" w14:textId="7704BC34">
            <w:pPr>
              <w:jc w:val="center"/>
              <w:rPr>
                <w:i/>
              </w:rPr>
            </w:pPr>
            <w:r w:rsidRPr="00A46B26">
              <w:rPr>
                <w:i/>
              </w:rPr>
              <w:t>How have these progressed from previous learning?</w:t>
            </w:r>
            <w:r w:rsidR="00501DFE">
              <w:rPr>
                <w:i/>
              </w:rPr>
              <w:t xml:space="preserve"> What </w:t>
            </w:r>
            <w:r w:rsidRPr="006D174A" w:rsidR="00501DFE">
              <w:rPr>
                <w:b/>
                <w:bCs/>
                <w:i/>
              </w:rPr>
              <w:t>gaps in knowledge</w:t>
            </w:r>
            <w:r w:rsidR="00501DFE">
              <w:rPr>
                <w:i/>
              </w:rPr>
              <w:t xml:space="preserve"> have you identified from </w:t>
            </w:r>
            <w:r w:rsidRPr="006D174A" w:rsidR="00501DFE">
              <w:rPr>
                <w:b/>
                <w:bCs/>
                <w:i/>
              </w:rPr>
              <w:t xml:space="preserve">baselining </w:t>
            </w:r>
            <w:r w:rsidR="00501DFE">
              <w:rPr>
                <w:i/>
              </w:rPr>
              <w:t>and how are the being closed?</w:t>
            </w:r>
          </w:p>
        </w:tc>
      </w:tr>
      <w:tr w:rsidR="00A46B26" w:rsidTr="2CF9AFE7" w14:paraId="3C33E224" w14:textId="77777777">
        <w:trPr>
          <w:trHeight w:val="1256"/>
        </w:trPr>
        <w:tc>
          <w:tcPr>
            <w:tcW w:w="10485" w:type="dxa"/>
            <w:gridSpan w:val="10"/>
            <w:tcMar/>
            <w:vAlign w:val="center"/>
          </w:tcPr>
          <w:p w:rsidR="00A46B26" w:rsidP="00166980" w:rsidRDefault="00A46B26" w14:paraId="661B339F" w14:textId="77777777"/>
          <w:p w:rsidR="000E0585" w:rsidP="005420A2" w:rsidRDefault="000E0585" w14:paraId="5BC912D0" w14:textId="0D3B23A2">
            <w:r>
              <w:t xml:space="preserve">Conservation of mass: mass is neither created or destroyed in chemical reactions. </w:t>
            </w:r>
          </w:p>
          <w:p w:rsidR="00B8361C" w:rsidP="005420A2" w:rsidRDefault="000E0585" w14:paraId="06231E7C" w14:textId="3B2B8DBD">
            <w:r>
              <w:t>Students will build on their knowledge on the concepts of Autumn 1 year 9 when we looked on the periodic table.</w:t>
            </w:r>
          </w:p>
          <w:p w:rsidR="000E0585" w:rsidP="000E0585" w:rsidRDefault="000E0585" w14:paraId="6C15675D" w14:textId="13545470">
            <w:r>
              <w:t>Using the mass numbers of the elements on the periodic table, students will do calculations for relative formula mass (total mass of elements in a compound), moles and concentration</w:t>
            </w:r>
            <w:r>
              <w:t>.</w:t>
            </w:r>
            <w:r>
              <w:tab/>
            </w:r>
          </w:p>
          <w:p w:rsidR="00AA683A" w:rsidP="00166980" w:rsidRDefault="005420A2" w14:paraId="50F3411F" w14:textId="21E53613">
            <w:r>
              <w:t>Student baselines are assessed through retrieval practice in the starter</w:t>
            </w:r>
            <w:r w:rsidR="00B8361C">
              <w:t xml:space="preserve">. </w:t>
            </w:r>
            <w:r w:rsidR="00AA683A">
              <w:t xml:space="preserve">Gaps that are identified such as students’ inability to </w:t>
            </w:r>
            <w:r w:rsidR="000E0585">
              <w:t>infer the correct relative mass from the periodic table.</w:t>
            </w:r>
            <w:r w:rsidR="005A38A3">
              <w:t xml:space="preserve"> </w:t>
            </w:r>
            <w:r w:rsidR="00AA683A">
              <w:t xml:space="preserve"> </w:t>
            </w:r>
          </w:p>
          <w:p w:rsidR="00A46B26" w:rsidP="00166980" w:rsidRDefault="00AA683A" w14:paraId="3C98411D" w14:textId="279C25BF">
            <w:r>
              <w:t xml:space="preserve">To close gaps in this knowledge emphasis is placed on </w:t>
            </w:r>
            <w:r w:rsidR="000E0585">
              <w:t>students first identifying where on the periodic table the relative mass is located</w:t>
            </w:r>
            <w:r w:rsidR="005A38A3">
              <w:t xml:space="preserve">. </w:t>
            </w:r>
          </w:p>
          <w:p w:rsidR="00A46B26" w:rsidP="00166980" w:rsidRDefault="00A46B26" w14:paraId="3806D405" w14:textId="77777777"/>
          <w:p w:rsidR="00A46B26" w:rsidP="00166980" w:rsidRDefault="00A46B26" w14:paraId="79009F87" w14:textId="77777777"/>
          <w:p w:rsidR="00A46B26" w:rsidP="00166980" w:rsidRDefault="00A46B26" w14:paraId="27F4E479" w14:textId="77777777"/>
          <w:p w:rsidR="00A46B26" w:rsidP="00166980" w:rsidRDefault="00A46B26" w14:paraId="78EDB51E" w14:textId="77777777"/>
          <w:p w:rsidR="00A46B26" w:rsidP="00166980" w:rsidRDefault="00A46B26" w14:paraId="524A44D2" w14:textId="77777777"/>
          <w:p w:rsidR="00A46B26" w:rsidP="00166980" w:rsidRDefault="00A46B26" w14:paraId="063F0F20" w14:textId="77777777"/>
        </w:tc>
      </w:tr>
      <w:tr w:rsidR="007B5DCF" w:rsidTr="2CF9AFE7" w14:paraId="69923A53" w14:textId="77777777">
        <w:tc>
          <w:tcPr>
            <w:tcW w:w="10485" w:type="dxa"/>
            <w:gridSpan w:val="10"/>
            <w:tcMar/>
            <w:vAlign w:val="center"/>
          </w:tcPr>
          <w:p w:rsidRPr="00166980" w:rsidR="007B5DCF" w:rsidP="007B5DCF" w:rsidRDefault="007B5DCF" w14:paraId="2D775CAA" w14:textId="77777777">
            <w:pPr>
              <w:jc w:val="center"/>
              <w:rPr>
                <w:b/>
                <w:u w:val="single"/>
              </w:rPr>
            </w:pPr>
            <w:r>
              <w:rPr>
                <w:b/>
                <w:u w:val="single"/>
              </w:rPr>
              <w:t>Unit Assessment</w:t>
            </w:r>
            <w:r w:rsidRPr="00166980">
              <w:rPr>
                <w:b/>
                <w:u w:val="single"/>
              </w:rPr>
              <w:t>:</w:t>
            </w:r>
          </w:p>
          <w:p w:rsidR="00A46B26" w:rsidP="007B5DCF" w:rsidRDefault="007B5DCF" w14:paraId="572ABA93" w14:textId="77777777">
            <w:pPr>
              <w:jc w:val="center"/>
              <w:rPr>
                <w:i/>
              </w:rPr>
            </w:pPr>
            <w:r>
              <w:rPr>
                <w:i/>
              </w:rPr>
              <w:t>How will this unit be assessed</w:t>
            </w:r>
            <w:r w:rsidRPr="007B5DCF">
              <w:rPr>
                <w:i/>
              </w:rPr>
              <w:t>?</w:t>
            </w:r>
            <w:r>
              <w:rPr>
                <w:i/>
              </w:rPr>
              <w:t xml:space="preserve"> </w:t>
            </w:r>
          </w:p>
          <w:p w:rsidR="007B5DCF" w:rsidP="007B5DCF" w:rsidRDefault="007B5DCF" w14:paraId="1D448AEC" w14:textId="77777777">
            <w:pPr>
              <w:jc w:val="center"/>
            </w:pPr>
            <w:r>
              <w:rPr>
                <w:i/>
              </w:rPr>
              <w:t>What is the frequency of assessments – baselines etc?</w:t>
            </w:r>
          </w:p>
        </w:tc>
      </w:tr>
      <w:tr w:rsidR="00A46B26" w:rsidTr="2CF9AFE7" w14:paraId="1071D02F" w14:textId="77777777">
        <w:tc>
          <w:tcPr>
            <w:tcW w:w="10485" w:type="dxa"/>
            <w:gridSpan w:val="10"/>
            <w:tcMar/>
            <w:vAlign w:val="center"/>
          </w:tcPr>
          <w:p w:rsidR="00A46B26" w:rsidP="00166980" w:rsidRDefault="00A46B26" w14:paraId="29D48401" w14:textId="77777777"/>
          <w:p w:rsidR="00A46B26" w:rsidP="00166980" w:rsidRDefault="005420A2" w14:paraId="58D8EBE2" w14:textId="2E0F53E5">
            <w:r>
              <w:t>Formative assessment:</w:t>
            </w:r>
          </w:p>
          <w:p w:rsidR="005420A2" w:rsidP="005420A2" w:rsidRDefault="005420A2" w14:paraId="1D124824" w14:textId="0671C2BF">
            <w:pPr>
              <w:pStyle w:val="ListParagraph"/>
              <w:numPr>
                <w:ilvl w:val="0"/>
                <w:numId w:val="3"/>
              </w:numPr>
            </w:pPr>
            <w:r>
              <w:t xml:space="preserve">6 mark extended writing task </w:t>
            </w:r>
          </w:p>
          <w:p w:rsidR="005420A2" w:rsidP="005420A2" w:rsidRDefault="005420A2" w14:paraId="5548BABB" w14:textId="36606CE9">
            <w:pPr>
              <w:pStyle w:val="ListParagraph"/>
              <w:numPr>
                <w:ilvl w:val="0"/>
                <w:numId w:val="3"/>
              </w:numPr>
            </w:pPr>
            <w:r>
              <w:t xml:space="preserve">Assesses powerful knowledge and literacy </w:t>
            </w:r>
          </w:p>
          <w:p w:rsidR="005420A2" w:rsidP="005420A2" w:rsidRDefault="005420A2" w14:paraId="2C3EF698" w14:textId="04EC0357">
            <w:pPr>
              <w:pStyle w:val="ListParagraph"/>
              <w:numPr>
                <w:ilvl w:val="0"/>
                <w:numId w:val="3"/>
              </w:numPr>
            </w:pPr>
            <w:r>
              <w:t xml:space="preserve">Feedback and response time built into lesson </w:t>
            </w:r>
          </w:p>
          <w:p w:rsidR="005420A2" w:rsidP="00166980" w:rsidRDefault="005420A2" w14:paraId="0B961A89" w14:textId="0B3352E6"/>
          <w:p w:rsidR="005420A2" w:rsidP="00166980" w:rsidRDefault="005420A2" w14:paraId="4AFFEFB6" w14:textId="6627D761">
            <w:r>
              <w:t>Summative assessment:</w:t>
            </w:r>
          </w:p>
          <w:p w:rsidR="005420A2" w:rsidP="005420A2" w:rsidRDefault="005420A2" w14:paraId="217E838D" w14:textId="4587D3A3">
            <w:pPr>
              <w:pStyle w:val="ListParagraph"/>
              <w:numPr>
                <w:ilvl w:val="0"/>
                <w:numId w:val="3"/>
              </w:numPr>
            </w:pPr>
            <w:r>
              <w:t xml:space="preserve">45minutes assessment </w:t>
            </w:r>
          </w:p>
          <w:p w:rsidR="005420A2" w:rsidP="005420A2" w:rsidRDefault="005420A2" w14:paraId="06CEEFA2" w14:textId="4137006C">
            <w:pPr>
              <w:pStyle w:val="ListParagraph"/>
              <w:numPr>
                <w:ilvl w:val="0"/>
                <w:numId w:val="3"/>
              </w:numPr>
            </w:pPr>
            <w:r>
              <w:t xml:space="preserve">Assesses powerful knowledge through past exam questions </w:t>
            </w:r>
          </w:p>
          <w:p w:rsidR="005420A2" w:rsidP="005420A2" w:rsidRDefault="005420A2" w14:paraId="1191788E" w14:textId="77777777">
            <w:pPr>
              <w:pStyle w:val="ListParagraph"/>
              <w:numPr>
                <w:ilvl w:val="0"/>
                <w:numId w:val="3"/>
              </w:numPr>
            </w:pPr>
            <w:r>
              <w:t xml:space="preserve">Feedback and response time built into lesson </w:t>
            </w:r>
          </w:p>
          <w:p w:rsidR="005420A2" w:rsidP="005420A2" w:rsidRDefault="005420A2" w14:paraId="7617FEA8" w14:textId="14CAAD70">
            <w:pPr>
              <w:pStyle w:val="ListParagraph"/>
            </w:pPr>
          </w:p>
          <w:p w:rsidR="005420A2" w:rsidP="005420A2" w:rsidRDefault="005420A2" w14:paraId="3E6C70F6" w14:textId="51F0B032">
            <w:pPr>
              <w:pStyle w:val="ListParagraph"/>
              <w:ind w:left="0"/>
            </w:pPr>
            <w:r>
              <w:t>Homework KS3/4:</w:t>
            </w:r>
          </w:p>
          <w:p w:rsidR="005420A2" w:rsidP="005420A2" w:rsidRDefault="005420A2" w14:paraId="6A6C596E" w14:textId="481352A7">
            <w:pPr>
              <w:pStyle w:val="ListParagraph"/>
              <w:numPr>
                <w:ilvl w:val="0"/>
                <w:numId w:val="3"/>
              </w:numPr>
            </w:pPr>
            <w:r>
              <w:t>Weekly Educake assignments (</w:t>
            </w:r>
            <w:proofErr w:type="spellStart"/>
            <w:r>
              <w:t>Yr</w:t>
            </w:r>
            <w:proofErr w:type="spellEnd"/>
            <w:r>
              <w:t xml:space="preserve"> 7 -11)</w:t>
            </w:r>
          </w:p>
          <w:p w:rsidR="005420A2" w:rsidP="005420A2" w:rsidRDefault="005420A2" w14:paraId="0D9AD9DC" w14:textId="77777777">
            <w:pPr>
              <w:pStyle w:val="ListParagraph"/>
              <w:numPr>
                <w:ilvl w:val="0"/>
                <w:numId w:val="3"/>
              </w:numPr>
            </w:pPr>
            <w:r>
              <w:t xml:space="preserve">Assesses powerful knowledge and literacy </w:t>
            </w:r>
          </w:p>
          <w:p w:rsidR="005420A2" w:rsidP="005420A2" w:rsidRDefault="005420A2" w14:paraId="2856B1C7" w14:textId="6C4E297F">
            <w:pPr>
              <w:ind w:left="360"/>
            </w:pPr>
          </w:p>
          <w:p w:rsidR="00A46B26" w:rsidP="00166980" w:rsidRDefault="00A46B26" w14:paraId="14DE2EEC" w14:textId="436ED350"/>
          <w:p w:rsidR="00A46B26" w:rsidP="00166980" w:rsidRDefault="00A46B26" w14:paraId="2ABAC3D7" w14:textId="77777777"/>
          <w:p w:rsidR="00A46B26" w:rsidP="00166980" w:rsidRDefault="00A46B26" w14:paraId="59F7DA1C" w14:textId="77777777"/>
          <w:p w:rsidR="00A46B26" w:rsidP="00166980" w:rsidRDefault="00A46B26" w14:paraId="14773732" w14:textId="77777777"/>
          <w:p w:rsidR="00A46B26" w:rsidP="00166980" w:rsidRDefault="00A46B26" w14:paraId="3C8D3688" w14:textId="77777777"/>
        </w:tc>
      </w:tr>
      <w:tr w:rsidR="00A46B26" w:rsidTr="2CF9AFE7" w14:paraId="6909388E" w14:textId="77777777">
        <w:tc>
          <w:tcPr>
            <w:tcW w:w="3492" w:type="dxa"/>
            <w:gridSpan w:val="3"/>
            <w:tcMar/>
            <w:vAlign w:val="center"/>
          </w:tcPr>
          <w:p w:rsidRPr="00A46B26" w:rsidR="00A46B26" w:rsidP="00A46B26" w:rsidRDefault="00A46B26" w14:paraId="794C4734" w14:textId="77777777">
            <w:pPr>
              <w:jc w:val="center"/>
              <w:rPr>
                <w:b/>
                <w:u w:val="single"/>
              </w:rPr>
            </w:pPr>
            <w:r w:rsidRPr="00A46B26">
              <w:rPr>
                <w:b/>
                <w:u w:val="single"/>
              </w:rPr>
              <w:t>Key Skills Explored</w:t>
            </w:r>
          </w:p>
        </w:tc>
        <w:tc>
          <w:tcPr>
            <w:tcW w:w="3495" w:type="dxa"/>
            <w:gridSpan w:val="4"/>
            <w:tcMar/>
            <w:vAlign w:val="center"/>
          </w:tcPr>
          <w:p w:rsidRPr="00A46B26" w:rsidR="00A46B26" w:rsidP="00A46B26" w:rsidRDefault="00AD595B" w14:paraId="7E549591" w14:textId="77777777">
            <w:pPr>
              <w:jc w:val="center"/>
              <w:rPr>
                <w:b/>
                <w:u w:val="single"/>
              </w:rPr>
            </w:pPr>
            <w:r>
              <w:rPr>
                <w:b/>
                <w:u w:val="single"/>
              </w:rPr>
              <w:t>Vocabulary Selected for DVI</w:t>
            </w:r>
          </w:p>
        </w:tc>
        <w:tc>
          <w:tcPr>
            <w:tcW w:w="3498" w:type="dxa"/>
            <w:gridSpan w:val="3"/>
            <w:tcMar/>
            <w:vAlign w:val="center"/>
          </w:tcPr>
          <w:p w:rsidRPr="00A46B26" w:rsidR="00A46B26" w:rsidP="00A46B26" w:rsidRDefault="00A46B26" w14:paraId="0DFAC94D" w14:textId="77777777">
            <w:pPr>
              <w:jc w:val="center"/>
              <w:rPr>
                <w:b/>
                <w:u w:val="single"/>
              </w:rPr>
            </w:pPr>
            <w:r>
              <w:rPr>
                <w:b/>
                <w:u w:val="single"/>
              </w:rPr>
              <w:t>Links to Previous Unit</w:t>
            </w:r>
          </w:p>
        </w:tc>
      </w:tr>
      <w:tr w:rsidR="00A46B26" w:rsidTr="2CF9AFE7" w14:paraId="3EDECF23" w14:textId="77777777">
        <w:tc>
          <w:tcPr>
            <w:tcW w:w="3492" w:type="dxa"/>
            <w:gridSpan w:val="3"/>
            <w:tcMar/>
            <w:vAlign w:val="center"/>
          </w:tcPr>
          <w:p w:rsidRPr="00555FC1" w:rsidR="00A46B26" w:rsidP="00A46B26" w:rsidRDefault="00A46B26" w14:paraId="21CB9886" w14:textId="64CAF7EA">
            <w:pPr>
              <w:jc w:val="center"/>
              <w:rPr>
                <w:bCs/>
                <w:sz w:val="24"/>
                <w:szCs w:val="24"/>
              </w:rPr>
            </w:pPr>
          </w:p>
          <w:p w:rsidR="005A38A3" w:rsidP="009236C6" w:rsidRDefault="000E0585" w14:paraId="64FD2322" w14:textId="33D73380">
            <w:pPr>
              <w:pStyle w:val="ListParagraph"/>
              <w:numPr>
                <w:ilvl w:val="0"/>
                <w:numId w:val="5"/>
              </w:numPr>
              <w:jc w:val="center"/>
              <w:rPr>
                <w:bCs/>
                <w:sz w:val="24"/>
                <w:szCs w:val="24"/>
              </w:rPr>
            </w:pPr>
            <w:r>
              <w:rPr>
                <w:bCs/>
                <w:sz w:val="24"/>
                <w:szCs w:val="24"/>
              </w:rPr>
              <w:t>Deducing relative mass of substances.</w:t>
            </w:r>
          </w:p>
          <w:p w:rsidR="000E0585" w:rsidP="009236C6" w:rsidRDefault="000E0585" w14:paraId="61DF8153" w14:textId="5A995B70">
            <w:pPr>
              <w:pStyle w:val="ListParagraph"/>
              <w:numPr>
                <w:ilvl w:val="0"/>
                <w:numId w:val="5"/>
              </w:numPr>
              <w:jc w:val="center"/>
              <w:rPr>
                <w:bCs/>
                <w:sz w:val="24"/>
                <w:szCs w:val="24"/>
              </w:rPr>
            </w:pPr>
            <w:r>
              <w:rPr>
                <w:bCs/>
                <w:sz w:val="24"/>
                <w:szCs w:val="24"/>
              </w:rPr>
              <w:t>Calculating relative formula mass and molecular mass of substances.</w:t>
            </w:r>
          </w:p>
          <w:p w:rsidR="000E0585" w:rsidP="009236C6" w:rsidRDefault="000E0585" w14:paraId="4855BCEA" w14:textId="0EB84F85">
            <w:pPr>
              <w:pStyle w:val="ListParagraph"/>
              <w:numPr>
                <w:ilvl w:val="0"/>
                <w:numId w:val="5"/>
              </w:numPr>
              <w:jc w:val="center"/>
              <w:rPr>
                <w:bCs/>
                <w:sz w:val="24"/>
                <w:szCs w:val="24"/>
              </w:rPr>
            </w:pPr>
            <w:r>
              <w:rPr>
                <w:bCs/>
                <w:sz w:val="24"/>
                <w:szCs w:val="24"/>
              </w:rPr>
              <w:t>Finding concentration of solutions and percentage yield.</w:t>
            </w:r>
          </w:p>
          <w:p w:rsidR="000E0585" w:rsidP="009236C6" w:rsidRDefault="000E0585" w14:paraId="016687D8" w14:textId="451A0943">
            <w:pPr>
              <w:pStyle w:val="ListParagraph"/>
              <w:numPr>
                <w:ilvl w:val="0"/>
                <w:numId w:val="5"/>
              </w:numPr>
              <w:jc w:val="center"/>
              <w:rPr>
                <w:bCs/>
                <w:sz w:val="24"/>
                <w:szCs w:val="24"/>
              </w:rPr>
            </w:pPr>
            <w:r>
              <w:rPr>
                <w:bCs/>
                <w:sz w:val="24"/>
                <w:szCs w:val="24"/>
              </w:rPr>
              <w:t>Deducing mass and volume from equation (HT)</w:t>
            </w:r>
          </w:p>
          <w:p w:rsidR="000E0585" w:rsidP="009236C6" w:rsidRDefault="000E0585" w14:paraId="12E2261C" w14:textId="33E929DE">
            <w:pPr>
              <w:pStyle w:val="ListParagraph"/>
              <w:numPr>
                <w:ilvl w:val="0"/>
                <w:numId w:val="5"/>
              </w:numPr>
              <w:jc w:val="center"/>
              <w:rPr>
                <w:bCs/>
                <w:sz w:val="24"/>
                <w:szCs w:val="24"/>
              </w:rPr>
            </w:pPr>
            <w:r>
              <w:rPr>
                <w:bCs/>
                <w:sz w:val="24"/>
                <w:szCs w:val="24"/>
              </w:rPr>
              <w:t>Calculating atom economy and percentage yield (HT)</w:t>
            </w:r>
          </w:p>
          <w:p w:rsidRPr="00555FC1" w:rsidR="00A46B26" w:rsidP="00A46B26" w:rsidRDefault="00A46B26" w14:paraId="14B50516" w14:textId="77777777">
            <w:pPr>
              <w:jc w:val="center"/>
              <w:rPr>
                <w:b/>
                <w:sz w:val="24"/>
                <w:szCs w:val="24"/>
                <w:u w:val="single"/>
              </w:rPr>
            </w:pPr>
          </w:p>
          <w:p w:rsidRPr="00555FC1" w:rsidR="00A46B26" w:rsidP="00A46B26" w:rsidRDefault="00A46B26" w14:paraId="7F90C6E0" w14:textId="77777777">
            <w:pPr>
              <w:jc w:val="center"/>
              <w:rPr>
                <w:b/>
                <w:sz w:val="24"/>
                <w:szCs w:val="24"/>
                <w:u w:val="single"/>
              </w:rPr>
            </w:pPr>
          </w:p>
          <w:p w:rsidRPr="00555FC1" w:rsidR="00A46B26" w:rsidP="00A46B26" w:rsidRDefault="00A46B26" w14:paraId="702A6DD1" w14:textId="77777777">
            <w:pPr>
              <w:jc w:val="center"/>
              <w:rPr>
                <w:b/>
                <w:sz w:val="24"/>
                <w:szCs w:val="24"/>
                <w:u w:val="single"/>
              </w:rPr>
            </w:pPr>
          </w:p>
          <w:p w:rsidRPr="00555FC1" w:rsidR="00A46B26" w:rsidP="00A46B26" w:rsidRDefault="00A46B26" w14:paraId="26C3E13D" w14:textId="77777777">
            <w:pPr>
              <w:jc w:val="center"/>
              <w:rPr>
                <w:b/>
                <w:sz w:val="24"/>
                <w:szCs w:val="24"/>
                <w:u w:val="single"/>
              </w:rPr>
            </w:pPr>
          </w:p>
          <w:p w:rsidRPr="00555FC1" w:rsidR="00A46B26" w:rsidP="00A46B26" w:rsidRDefault="00A46B26" w14:paraId="43A4B3CE" w14:textId="77777777">
            <w:pPr>
              <w:rPr>
                <w:b/>
                <w:sz w:val="24"/>
                <w:szCs w:val="24"/>
                <w:u w:val="single"/>
              </w:rPr>
            </w:pPr>
          </w:p>
        </w:tc>
        <w:tc>
          <w:tcPr>
            <w:tcW w:w="3495" w:type="dxa"/>
            <w:gridSpan w:val="4"/>
            <w:tcMar/>
            <w:vAlign w:val="center"/>
          </w:tcPr>
          <w:p w:rsidR="000E0585" w:rsidP="00A46B26" w:rsidRDefault="000E0585" w14:paraId="0383D257" w14:textId="09C4CE00">
            <w:pPr>
              <w:jc w:val="center"/>
              <w:rPr>
                <w:sz w:val="24"/>
                <w:szCs w:val="24"/>
              </w:rPr>
            </w:pPr>
            <w:r>
              <w:rPr>
                <w:sz w:val="24"/>
                <w:szCs w:val="24"/>
              </w:rPr>
              <w:t>Moles</w:t>
            </w:r>
          </w:p>
          <w:p w:rsidR="000E0585" w:rsidP="00A46B26" w:rsidRDefault="000E0585" w14:paraId="39D9E24E" w14:textId="77777777">
            <w:pPr>
              <w:jc w:val="center"/>
              <w:rPr>
                <w:sz w:val="24"/>
                <w:szCs w:val="24"/>
              </w:rPr>
            </w:pPr>
            <w:r>
              <w:rPr>
                <w:sz w:val="24"/>
                <w:szCs w:val="24"/>
              </w:rPr>
              <w:t>Relative formula mass</w:t>
            </w:r>
          </w:p>
          <w:p w:rsidR="000E0585" w:rsidP="00A46B26" w:rsidRDefault="000E0585" w14:paraId="0A4777CC" w14:textId="77777777">
            <w:pPr>
              <w:jc w:val="center"/>
              <w:rPr>
                <w:sz w:val="24"/>
                <w:szCs w:val="24"/>
              </w:rPr>
            </w:pPr>
            <w:r>
              <w:rPr>
                <w:sz w:val="24"/>
                <w:szCs w:val="24"/>
              </w:rPr>
              <w:t xml:space="preserve">Atom economy </w:t>
            </w:r>
          </w:p>
          <w:p w:rsidR="000E0585" w:rsidP="00A46B26" w:rsidRDefault="000E0585" w14:paraId="1B8A8E3E" w14:textId="77777777">
            <w:pPr>
              <w:jc w:val="center"/>
              <w:rPr>
                <w:sz w:val="24"/>
                <w:szCs w:val="24"/>
              </w:rPr>
            </w:pPr>
            <w:r>
              <w:rPr>
                <w:sz w:val="24"/>
                <w:szCs w:val="24"/>
              </w:rPr>
              <w:t xml:space="preserve">Percentage yield </w:t>
            </w:r>
          </w:p>
          <w:p w:rsidRPr="005A38A3" w:rsidR="005A38A3" w:rsidP="00A46B26" w:rsidRDefault="000E0585" w14:paraId="2092CD17" w14:textId="7E9825F1">
            <w:pPr>
              <w:jc w:val="center"/>
              <w:rPr>
                <w:sz w:val="24"/>
                <w:szCs w:val="24"/>
              </w:rPr>
            </w:pPr>
            <w:r>
              <w:rPr>
                <w:sz w:val="24"/>
                <w:szCs w:val="24"/>
              </w:rPr>
              <w:t xml:space="preserve">Concentration  </w:t>
            </w:r>
            <w:r w:rsidR="005A38A3">
              <w:rPr>
                <w:sz w:val="24"/>
                <w:szCs w:val="24"/>
              </w:rPr>
              <w:t xml:space="preserve"> </w:t>
            </w:r>
          </w:p>
        </w:tc>
        <w:tc>
          <w:tcPr>
            <w:tcW w:w="3498" w:type="dxa"/>
            <w:gridSpan w:val="3"/>
            <w:tcMar/>
            <w:vAlign w:val="center"/>
          </w:tcPr>
          <w:p w:rsidRPr="00555FC1" w:rsidR="00A46B26" w:rsidP="00A46B26" w:rsidRDefault="005A38A3" w14:paraId="3AD2AA5F" w14:textId="2DF48158">
            <w:pPr>
              <w:jc w:val="center"/>
              <w:rPr>
                <w:bCs/>
                <w:sz w:val="24"/>
                <w:szCs w:val="24"/>
              </w:rPr>
            </w:pPr>
            <w:r>
              <w:rPr>
                <w:bCs/>
                <w:sz w:val="24"/>
                <w:szCs w:val="24"/>
              </w:rPr>
              <w:t xml:space="preserve">In </w:t>
            </w:r>
            <w:r w:rsidR="000E0585">
              <w:rPr>
                <w:bCs/>
                <w:sz w:val="24"/>
                <w:szCs w:val="24"/>
              </w:rPr>
              <w:t>Autumn 1 year 9 students explored the periodic table.</w:t>
            </w:r>
          </w:p>
        </w:tc>
      </w:tr>
      <w:tr w:rsidR="00A46B26" w:rsidTr="2CF9AFE7" w14:paraId="1E113C6C" w14:textId="77777777">
        <w:tc>
          <w:tcPr>
            <w:tcW w:w="3492" w:type="dxa"/>
            <w:gridSpan w:val="3"/>
            <w:tcMar/>
            <w:vAlign w:val="center"/>
          </w:tcPr>
          <w:p w:rsidR="00A46B26" w:rsidP="00A46B26" w:rsidRDefault="00A46B26" w14:paraId="04BD3647" w14:textId="77777777">
            <w:pPr>
              <w:jc w:val="center"/>
              <w:rPr>
                <w:b/>
                <w:u w:val="single"/>
              </w:rPr>
            </w:pPr>
            <w:r>
              <w:rPr>
                <w:b/>
                <w:u w:val="single"/>
              </w:rPr>
              <w:t>Links to Careers/Employability</w:t>
            </w:r>
          </w:p>
        </w:tc>
        <w:tc>
          <w:tcPr>
            <w:tcW w:w="6993" w:type="dxa"/>
            <w:gridSpan w:val="7"/>
            <w:tcMar/>
            <w:vAlign w:val="center"/>
          </w:tcPr>
          <w:p w:rsidRPr="00A46B26" w:rsidR="00A46B26" w:rsidP="00A46B26" w:rsidRDefault="00A46B26" w14:paraId="69D7FCFC" w14:textId="77777777">
            <w:pPr>
              <w:jc w:val="center"/>
              <w:rPr>
                <w:b/>
                <w:u w:val="single"/>
              </w:rPr>
            </w:pPr>
            <w:r>
              <w:rPr>
                <w:b/>
                <w:u w:val="single"/>
              </w:rPr>
              <w:t>How does this unit prepare students for the next unit?</w:t>
            </w:r>
          </w:p>
        </w:tc>
      </w:tr>
      <w:tr w:rsidR="00A46B26" w:rsidTr="2CF9AFE7" w14:paraId="7DA832C4" w14:textId="77777777">
        <w:trPr>
          <w:trHeight w:val="1153"/>
        </w:trPr>
        <w:tc>
          <w:tcPr>
            <w:tcW w:w="3492" w:type="dxa"/>
            <w:gridSpan w:val="3"/>
            <w:tcMar/>
            <w:vAlign w:val="center"/>
          </w:tcPr>
          <w:p w:rsidR="00A46B26" w:rsidP="00A46B26" w:rsidRDefault="00A46B26" w14:paraId="1647ABCA" w14:textId="77777777">
            <w:pPr>
              <w:jc w:val="center"/>
              <w:rPr>
                <w:b/>
                <w:u w:val="single"/>
              </w:rPr>
            </w:pPr>
          </w:p>
          <w:p w:rsidRPr="00555FC1" w:rsidR="00555FC1" w:rsidP="00A46B26" w:rsidRDefault="000E0585" w14:paraId="43D3E69A" w14:textId="16C5BB59">
            <w:pPr>
              <w:jc w:val="center"/>
              <w:rPr>
                <w:bCs/>
                <w:sz w:val="24"/>
                <w:szCs w:val="24"/>
              </w:rPr>
            </w:pPr>
            <w:r>
              <w:rPr>
                <w:bCs/>
                <w:sz w:val="24"/>
                <w:szCs w:val="24"/>
              </w:rPr>
              <w:t>Chemical Industry: Producing pharmaceutical products and also hair and body care products</w:t>
            </w:r>
          </w:p>
          <w:p w:rsidR="00A46B26" w:rsidP="00A46B26" w:rsidRDefault="00A46B26" w14:paraId="5B28F609" w14:textId="77777777">
            <w:pPr>
              <w:jc w:val="center"/>
              <w:rPr>
                <w:b/>
                <w:u w:val="single"/>
              </w:rPr>
            </w:pPr>
          </w:p>
          <w:p w:rsidR="00A46B26" w:rsidP="00A46B26" w:rsidRDefault="00A46B26" w14:paraId="4D739D3F" w14:textId="77777777">
            <w:pPr>
              <w:jc w:val="center"/>
              <w:rPr>
                <w:b/>
                <w:u w:val="single"/>
              </w:rPr>
            </w:pPr>
          </w:p>
          <w:p w:rsidR="00A46B26" w:rsidP="00A46B26" w:rsidRDefault="00A46B26" w14:paraId="67645BE4" w14:textId="77777777">
            <w:pPr>
              <w:rPr>
                <w:b/>
                <w:u w:val="single"/>
              </w:rPr>
            </w:pPr>
          </w:p>
          <w:p w:rsidRPr="00A46B26" w:rsidR="00A46B26" w:rsidP="00501DFE" w:rsidRDefault="00A46B26" w14:paraId="232BB1FF" w14:textId="77777777">
            <w:pPr>
              <w:rPr>
                <w:b/>
                <w:u w:val="single"/>
              </w:rPr>
            </w:pPr>
          </w:p>
        </w:tc>
        <w:tc>
          <w:tcPr>
            <w:tcW w:w="6993" w:type="dxa"/>
            <w:gridSpan w:val="7"/>
            <w:tcMar/>
            <w:vAlign w:val="center"/>
          </w:tcPr>
          <w:p w:rsidRPr="00555FC1" w:rsidR="00A46B26" w:rsidP="00A46B26" w:rsidRDefault="00555FC1" w14:paraId="5E585455" w14:textId="2809441E">
            <w:pPr>
              <w:rPr>
                <w:bCs/>
                <w:sz w:val="24"/>
                <w:szCs w:val="24"/>
              </w:rPr>
            </w:pPr>
            <w:r w:rsidRPr="00555FC1">
              <w:rPr>
                <w:bCs/>
                <w:sz w:val="24"/>
                <w:szCs w:val="24"/>
              </w:rPr>
              <w:t xml:space="preserve">Students’ successful completion of these learning objectives will prepare them for </w:t>
            </w:r>
            <w:r w:rsidR="005A38A3">
              <w:rPr>
                <w:bCs/>
                <w:sz w:val="24"/>
                <w:szCs w:val="24"/>
              </w:rPr>
              <w:t xml:space="preserve">the unit of </w:t>
            </w:r>
            <w:r w:rsidR="000E0585">
              <w:rPr>
                <w:bCs/>
                <w:sz w:val="24"/>
                <w:szCs w:val="24"/>
              </w:rPr>
              <w:t xml:space="preserve">chemical changes where students will look at how the these chemical reactions can be classified such as neutralisation reactions. </w:t>
            </w:r>
            <w:bookmarkStart w:name="_GoBack" w:id="0"/>
            <w:bookmarkEnd w:id="0"/>
            <w:r w:rsidR="005A38A3">
              <w:rPr>
                <w:bCs/>
                <w:sz w:val="24"/>
                <w:szCs w:val="24"/>
              </w:rPr>
              <w:t xml:space="preserve"> </w:t>
            </w:r>
          </w:p>
        </w:tc>
      </w:tr>
    </w:tbl>
    <w:p w:rsidRPr="005420A2" w:rsidR="002F34DF" w:rsidRDefault="002F34DF" w14:paraId="38B08D01" w14:textId="203B9617">
      <w:pPr>
        <w:rPr>
          <w:sz w:val="24"/>
        </w:rPr>
      </w:pPr>
    </w:p>
    <w:p w:rsidRPr="005420A2" w:rsidR="005420A2" w:rsidRDefault="005420A2" w14:paraId="28F9C075" w14:textId="29A17C8C">
      <w:pPr>
        <w:rPr>
          <w:sz w:val="24"/>
        </w:rPr>
      </w:pPr>
      <w:r w:rsidRPr="005420A2">
        <w:rPr>
          <w:sz w:val="24"/>
        </w:rPr>
        <w:t xml:space="preserve">KO </w:t>
      </w:r>
    </w:p>
    <w:p w:rsidR="005420A2" w:rsidRDefault="005420A2" w14:paraId="3C417260" w14:textId="557AF79F">
      <w:pPr>
        <w:rPr>
          <w:sz w:val="24"/>
        </w:rPr>
      </w:pPr>
      <w:r>
        <w:rPr>
          <w:sz w:val="24"/>
        </w:rPr>
        <w:t>Black (all)</w:t>
      </w:r>
    </w:p>
    <w:p w:rsidRPr="005420A2" w:rsidR="005420A2" w:rsidRDefault="005420A2" w14:paraId="697A690C" w14:textId="3DD6D0F2">
      <w:pPr>
        <w:rPr>
          <w:color w:val="538135" w:themeColor="accent6" w:themeShade="BF"/>
          <w:sz w:val="24"/>
        </w:rPr>
      </w:pPr>
      <w:r>
        <w:rPr>
          <w:sz w:val="24"/>
        </w:rPr>
        <w:t>Higher (</w:t>
      </w:r>
      <w:r w:rsidRPr="005420A2">
        <w:rPr>
          <w:color w:val="538135" w:themeColor="accent6" w:themeShade="BF"/>
          <w:sz w:val="24"/>
        </w:rPr>
        <w:t>Dark green)</w:t>
      </w:r>
    </w:p>
    <w:p w:rsidRPr="005420A2" w:rsidR="005420A2" w:rsidRDefault="005420A2" w14:paraId="751AA07D" w14:textId="6C0EDC19">
      <w:pPr>
        <w:rPr>
          <w:sz w:val="24"/>
        </w:rPr>
      </w:pPr>
      <w:r>
        <w:rPr>
          <w:sz w:val="24"/>
        </w:rPr>
        <w:t>Triple (</w:t>
      </w:r>
      <w:r w:rsidRPr="005420A2">
        <w:rPr>
          <w:color w:val="C00000"/>
          <w:sz w:val="24"/>
        </w:rPr>
        <w:t>Maroon / burgundy</w:t>
      </w:r>
      <w:r>
        <w:rPr>
          <w:sz w:val="24"/>
        </w:rPr>
        <w:t>)</w:t>
      </w:r>
    </w:p>
    <w:sectPr w:rsidRPr="005420A2" w:rsidR="005420A2" w:rsidSect="00166980">
      <w:pgSz w:w="11906" w:h="16838" w:orient="portrait"/>
      <w:pgMar w:top="851" w:right="2125"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555A"/>
    <w:multiLevelType w:val="hybridMultilevel"/>
    <w:tmpl w:val="6088D9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D896C39"/>
    <w:multiLevelType w:val="hybridMultilevel"/>
    <w:tmpl w:val="36C6DB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0AE32E9"/>
    <w:multiLevelType w:val="hybridMultilevel"/>
    <w:tmpl w:val="ABF2F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CA04B1"/>
    <w:multiLevelType w:val="hybridMultilevel"/>
    <w:tmpl w:val="39B686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9AF454E"/>
    <w:multiLevelType w:val="hybridMultilevel"/>
    <w:tmpl w:val="01EC38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980"/>
    <w:rsid w:val="00015D41"/>
    <w:rsid w:val="000E0585"/>
    <w:rsid w:val="00166980"/>
    <w:rsid w:val="00202BF9"/>
    <w:rsid w:val="002F34DF"/>
    <w:rsid w:val="00501DFE"/>
    <w:rsid w:val="005420A2"/>
    <w:rsid w:val="00555FC1"/>
    <w:rsid w:val="005A38A3"/>
    <w:rsid w:val="006D174A"/>
    <w:rsid w:val="007B5DCF"/>
    <w:rsid w:val="009236C6"/>
    <w:rsid w:val="00A46B26"/>
    <w:rsid w:val="00AA683A"/>
    <w:rsid w:val="00AD595B"/>
    <w:rsid w:val="00B8361C"/>
    <w:rsid w:val="00FC599F"/>
    <w:rsid w:val="2CF9AFE7"/>
    <w:rsid w:val="59971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112A"/>
  <w15:chartTrackingRefBased/>
  <w15:docId w15:val="{183927CC-A481-442D-838D-D3CD5100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6698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42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523457">
      <w:bodyDiv w:val="1"/>
      <w:marLeft w:val="0"/>
      <w:marRight w:val="0"/>
      <w:marTop w:val="0"/>
      <w:marBottom w:val="0"/>
      <w:divBdr>
        <w:top w:val="none" w:sz="0" w:space="0" w:color="auto"/>
        <w:left w:val="none" w:sz="0" w:space="0" w:color="auto"/>
        <w:bottom w:val="none" w:sz="0" w:space="0" w:color="auto"/>
        <w:right w:val="none" w:sz="0" w:space="0" w:color="auto"/>
      </w:divBdr>
    </w:div>
    <w:div w:id="865601984">
      <w:bodyDiv w:val="1"/>
      <w:marLeft w:val="0"/>
      <w:marRight w:val="0"/>
      <w:marTop w:val="0"/>
      <w:marBottom w:val="0"/>
      <w:divBdr>
        <w:top w:val="none" w:sz="0" w:space="0" w:color="auto"/>
        <w:left w:val="none" w:sz="0" w:space="0" w:color="auto"/>
        <w:bottom w:val="none" w:sz="0" w:space="0" w:color="auto"/>
        <w:right w:val="none" w:sz="0" w:space="0" w:color="auto"/>
      </w:divBdr>
    </w:div>
    <w:div w:id="1341850690">
      <w:bodyDiv w:val="1"/>
      <w:marLeft w:val="0"/>
      <w:marRight w:val="0"/>
      <w:marTop w:val="0"/>
      <w:marBottom w:val="0"/>
      <w:divBdr>
        <w:top w:val="none" w:sz="0" w:space="0" w:color="auto"/>
        <w:left w:val="none" w:sz="0" w:space="0" w:color="auto"/>
        <w:bottom w:val="none" w:sz="0" w:space="0" w:color="auto"/>
        <w:right w:val="none" w:sz="0" w:space="0" w:color="auto"/>
      </w:divBdr>
      <w:divsChild>
        <w:div w:id="1991013983">
          <w:marLeft w:val="0"/>
          <w:marRight w:val="0"/>
          <w:marTop w:val="0"/>
          <w:marBottom w:val="0"/>
          <w:divBdr>
            <w:top w:val="none" w:sz="0" w:space="0" w:color="auto"/>
            <w:left w:val="none" w:sz="0" w:space="0" w:color="auto"/>
            <w:bottom w:val="none" w:sz="0" w:space="0" w:color="auto"/>
            <w:right w:val="none" w:sz="0" w:space="0" w:color="auto"/>
          </w:divBdr>
        </w:div>
      </w:divsChild>
    </w:div>
    <w:div w:id="147502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FA3C0C86B6F74BBA11D242FD2AEF83" ma:contentTypeVersion="10" ma:contentTypeDescription="Create a new document." ma:contentTypeScope="" ma:versionID="91e4fa096de1d6473be316e3d718a4c5">
  <xsd:schema xmlns:xsd="http://www.w3.org/2001/XMLSchema" xmlns:xs="http://www.w3.org/2001/XMLSchema" xmlns:p="http://schemas.microsoft.com/office/2006/metadata/properties" xmlns:ns2="68c5841a-5909-4d2f-a544-c309ae69ac52" xmlns:ns3="87479283-8fd9-4aff-b19f-38b2bc709453" targetNamespace="http://schemas.microsoft.com/office/2006/metadata/properties" ma:root="true" ma:fieldsID="37719f635a55a21c6c74f55fc2c350a0" ns2:_="" ns3:_="">
    <xsd:import namespace="68c5841a-5909-4d2f-a544-c309ae69ac52"/>
    <xsd:import namespace="87479283-8fd9-4aff-b19f-38b2bc7094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5841a-5909-4d2f-a544-c309ae69a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79283-8fd9-4aff-b19f-38b2bc7094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7479283-8fd9-4aff-b19f-38b2bc709453">
      <UserInfo>
        <DisplayName/>
        <AccountId xsi:nil="true"/>
        <AccountType/>
      </UserInfo>
    </SharedWithUsers>
  </documentManagement>
</p:properties>
</file>

<file path=customXml/itemProps1.xml><?xml version="1.0" encoding="utf-8"?>
<ds:datastoreItem xmlns:ds="http://schemas.openxmlformats.org/officeDocument/2006/customXml" ds:itemID="{6283C3C1-D4E0-4F10-AF1F-105587E5C410}">
  <ds:schemaRefs>
    <ds:schemaRef ds:uri="http://schemas.microsoft.com/sharepoint/v3/contenttype/forms"/>
  </ds:schemaRefs>
</ds:datastoreItem>
</file>

<file path=customXml/itemProps2.xml><?xml version="1.0" encoding="utf-8"?>
<ds:datastoreItem xmlns:ds="http://schemas.openxmlformats.org/officeDocument/2006/customXml" ds:itemID="{A0996F1B-703F-452E-89DF-30C16920DE4A}"/>
</file>

<file path=customXml/itemProps3.xml><?xml version="1.0" encoding="utf-8"?>
<ds:datastoreItem xmlns:ds="http://schemas.openxmlformats.org/officeDocument/2006/customXml" ds:itemID="{95699B39-A758-4BF6-BE16-54357DC65431}">
  <ds:schemaRefs>
    <ds:schemaRef ds:uri="http://www.w3.org/XML/1998/namespace"/>
    <ds:schemaRef ds:uri="http://schemas.openxmlformats.org/package/2006/metadata/core-properties"/>
    <ds:schemaRef ds:uri="68c5841a-5909-4d2f-a544-c309ae69ac52"/>
    <ds:schemaRef ds:uri="http://schemas.microsoft.com/office/2006/documentManagement/types"/>
    <ds:schemaRef ds:uri="http://schemas.microsoft.com/office/infopath/2007/PartnerControls"/>
    <ds:schemaRef ds:uri="http://schemas.microsoft.com/office/2006/metadata/properties"/>
    <ds:schemaRef ds:uri="http://purl.org/dc/dcmitype/"/>
    <ds:schemaRef ds:uri="87479283-8fd9-4aff-b19f-38b2bc709453"/>
    <ds:schemaRef ds:uri="http://purl.org/dc/elements/1.1/"/>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Khan (St Marks)</dc:creator>
  <cp:keywords/>
  <dc:description/>
  <cp:lastModifiedBy>Shanay Brown-Whitehorne (St Marks)</cp:lastModifiedBy>
  <cp:revision>5</cp:revision>
  <cp:lastPrinted>2022-02-23T15:20:00Z</cp:lastPrinted>
  <dcterms:created xsi:type="dcterms:W3CDTF">2022-03-07T13:40:00Z</dcterms:created>
  <dcterms:modified xsi:type="dcterms:W3CDTF">2022-06-24T09:50:56Z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0x01010060FA3C0C86B6F74BBA11D242FD2AEF83</vt:lpwstr>
  </property>
  <property fmtid="{D5CDD505-2E9C-101B-9397-08002B2CF9AE}" pid="3" name="MediaServiceImageTags">
    <vt:lpwstr/>
  </property>
  <property fmtid="{D5CDD505-2E9C-101B-9397-08002B2CF9AE}" pid="4" name="Order">
    <vt:r8>265800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