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0"/>
        <w:gridCol w:w="1109"/>
        <w:gridCol w:w="1113"/>
        <w:gridCol w:w="1111"/>
        <w:gridCol w:w="1110"/>
        <w:gridCol w:w="1110"/>
        <w:gridCol w:w="164"/>
        <w:gridCol w:w="947"/>
        <w:gridCol w:w="1842"/>
        <w:gridCol w:w="709"/>
      </w:tblGrid>
      <w:tr w:rsidR="00166980" w14:paraId="1C2E822E" w14:textId="77777777" w:rsidTr="00166980">
        <w:trPr>
          <w:trHeight w:val="416"/>
        </w:trPr>
        <w:tc>
          <w:tcPr>
            <w:tcW w:w="10485" w:type="dxa"/>
            <w:gridSpan w:val="10"/>
            <w:vAlign w:val="center"/>
          </w:tcPr>
          <w:p w14:paraId="33B0AECB" w14:textId="0946BB78" w:rsidR="00166980" w:rsidRPr="00166980" w:rsidRDefault="00166980" w:rsidP="00166980">
            <w:pPr>
              <w:rPr>
                <w:b/>
              </w:rPr>
            </w:pPr>
            <w:r w:rsidRPr="00166980">
              <w:rPr>
                <w:b/>
              </w:rPr>
              <w:t>Unit Overview:</w:t>
            </w:r>
            <w:r w:rsidR="007119DE">
              <w:rPr>
                <w:b/>
              </w:rPr>
              <w:t xml:space="preserve"> </w:t>
            </w:r>
            <w:r w:rsidR="00F27F12">
              <w:rPr>
                <w:b/>
              </w:rPr>
              <w:t xml:space="preserve">Health, fitness, diet and nutrition </w:t>
            </w:r>
          </w:p>
        </w:tc>
      </w:tr>
      <w:tr w:rsidR="00166980" w14:paraId="2CFBA4A4" w14:textId="77777777" w:rsidTr="00A46B26">
        <w:trPr>
          <w:trHeight w:val="419"/>
        </w:trPr>
        <w:tc>
          <w:tcPr>
            <w:tcW w:w="1270" w:type="dxa"/>
            <w:vAlign w:val="center"/>
          </w:tcPr>
          <w:p w14:paraId="3F44EFC9" w14:textId="77777777" w:rsidR="00166980" w:rsidRPr="00166980" w:rsidRDefault="00166980" w:rsidP="00166980">
            <w:pPr>
              <w:rPr>
                <w:b/>
              </w:rPr>
            </w:pPr>
            <w:r w:rsidRPr="00166980">
              <w:rPr>
                <w:b/>
              </w:rPr>
              <w:t>Half- Term:</w:t>
            </w:r>
          </w:p>
        </w:tc>
        <w:tc>
          <w:tcPr>
            <w:tcW w:w="1109" w:type="dxa"/>
            <w:vAlign w:val="center"/>
          </w:tcPr>
          <w:p w14:paraId="52AFBA06" w14:textId="77777777" w:rsidR="00166980" w:rsidRPr="007119DE" w:rsidRDefault="00166980" w:rsidP="00166980">
            <w:pPr>
              <w:jc w:val="center"/>
              <w:rPr>
                <w:highlight w:val="yellow"/>
              </w:rPr>
            </w:pPr>
            <w:r w:rsidRPr="00F27F12">
              <w:rPr>
                <w:highlight w:val="yellow"/>
              </w:rPr>
              <w:t>AUT 1</w:t>
            </w:r>
          </w:p>
        </w:tc>
        <w:tc>
          <w:tcPr>
            <w:tcW w:w="1113" w:type="dxa"/>
            <w:vAlign w:val="center"/>
          </w:tcPr>
          <w:p w14:paraId="3A806760" w14:textId="77777777" w:rsidR="00166980" w:rsidRPr="007119DE" w:rsidRDefault="00166980" w:rsidP="00166980">
            <w:pPr>
              <w:jc w:val="center"/>
              <w:rPr>
                <w:highlight w:val="yellow"/>
              </w:rPr>
            </w:pPr>
            <w:r w:rsidRPr="00F27F12">
              <w:t>AUT 2</w:t>
            </w:r>
          </w:p>
        </w:tc>
        <w:tc>
          <w:tcPr>
            <w:tcW w:w="1111" w:type="dxa"/>
            <w:vAlign w:val="center"/>
          </w:tcPr>
          <w:p w14:paraId="6B0A96A1" w14:textId="77777777" w:rsidR="00166980" w:rsidRPr="00166980" w:rsidRDefault="00166980" w:rsidP="00166980">
            <w:pPr>
              <w:jc w:val="center"/>
            </w:pPr>
            <w:r w:rsidRPr="00166980">
              <w:t>SPR 1</w:t>
            </w:r>
          </w:p>
        </w:tc>
        <w:tc>
          <w:tcPr>
            <w:tcW w:w="1110" w:type="dxa"/>
            <w:vAlign w:val="center"/>
          </w:tcPr>
          <w:p w14:paraId="104186A4" w14:textId="77777777" w:rsidR="00166980" w:rsidRPr="00166980" w:rsidRDefault="00166980" w:rsidP="00166980">
            <w:pPr>
              <w:jc w:val="center"/>
            </w:pPr>
            <w:r w:rsidRPr="00166980">
              <w:t>SPR 2</w:t>
            </w:r>
          </w:p>
        </w:tc>
        <w:tc>
          <w:tcPr>
            <w:tcW w:w="1110" w:type="dxa"/>
            <w:vAlign w:val="center"/>
          </w:tcPr>
          <w:p w14:paraId="3CD707A3" w14:textId="77777777" w:rsidR="00166980" w:rsidRPr="00166980" w:rsidRDefault="00166980" w:rsidP="00166980">
            <w:pPr>
              <w:jc w:val="center"/>
            </w:pPr>
            <w:r w:rsidRPr="00166980">
              <w:t>SUM 1</w:t>
            </w:r>
          </w:p>
        </w:tc>
        <w:tc>
          <w:tcPr>
            <w:tcW w:w="1111" w:type="dxa"/>
            <w:gridSpan w:val="2"/>
            <w:vAlign w:val="center"/>
          </w:tcPr>
          <w:p w14:paraId="204CCBB0" w14:textId="77777777" w:rsidR="00166980" w:rsidRPr="00166980" w:rsidRDefault="00166980" w:rsidP="00166980">
            <w:pPr>
              <w:jc w:val="center"/>
            </w:pPr>
            <w:r w:rsidRPr="00166980">
              <w:t>SUM 2</w:t>
            </w:r>
          </w:p>
        </w:tc>
        <w:tc>
          <w:tcPr>
            <w:tcW w:w="1842" w:type="dxa"/>
            <w:vAlign w:val="center"/>
          </w:tcPr>
          <w:p w14:paraId="3D2EDFC0" w14:textId="77777777" w:rsidR="00166980" w:rsidRPr="00166980" w:rsidRDefault="00166980" w:rsidP="00166980">
            <w:pPr>
              <w:rPr>
                <w:b/>
              </w:rPr>
            </w:pPr>
            <w:r w:rsidRPr="00166980">
              <w:rPr>
                <w:b/>
              </w:rPr>
              <w:t>No of Lessons:</w:t>
            </w:r>
          </w:p>
        </w:tc>
        <w:tc>
          <w:tcPr>
            <w:tcW w:w="709" w:type="dxa"/>
            <w:vAlign w:val="center"/>
          </w:tcPr>
          <w:p w14:paraId="4A4AA729" w14:textId="3D95BDBA" w:rsidR="00166980" w:rsidRPr="00166980" w:rsidRDefault="0076345C" w:rsidP="00166980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166980" w14:paraId="0DDB5018" w14:textId="77777777" w:rsidTr="00166980">
        <w:trPr>
          <w:trHeight w:val="424"/>
        </w:trPr>
        <w:tc>
          <w:tcPr>
            <w:tcW w:w="10485" w:type="dxa"/>
            <w:gridSpan w:val="10"/>
            <w:vAlign w:val="center"/>
          </w:tcPr>
          <w:p w14:paraId="4CE7EBC3" w14:textId="77777777" w:rsidR="00166980" w:rsidRPr="00166980" w:rsidRDefault="00166980" w:rsidP="00166980">
            <w:pPr>
              <w:jc w:val="center"/>
              <w:rPr>
                <w:b/>
                <w:u w:val="single"/>
              </w:rPr>
            </w:pPr>
            <w:r w:rsidRPr="00166980">
              <w:rPr>
                <w:b/>
                <w:u w:val="single"/>
              </w:rPr>
              <w:t>Key Focus for Unit:</w:t>
            </w:r>
          </w:p>
          <w:p w14:paraId="784C7CEA" w14:textId="77777777" w:rsidR="00A46B26" w:rsidRDefault="00166980" w:rsidP="00166980">
            <w:pPr>
              <w:jc w:val="center"/>
              <w:rPr>
                <w:i/>
              </w:rPr>
            </w:pPr>
            <w:r w:rsidRPr="007B5DCF">
              <w:rPr>
                <w:i/>
              </w:rPr>
              <w:t xml:space="preserve">What is the key knowledge being delivered? </w:t>
            </w:r>
          </w:p>
          <w:p w14:paraId="29611E7C" w14:textId="77777777" w:rsidR="00166980" w:rsidRPr="007B5DCF" w:rsidRDefault="00166980" w:rsidP="00166980">
            <w:pPr>
              <w:jc w:val="center"/>
              <w:rPr>
                <w:i/>
              </w:rPr>
            </w:pPr>
            <w:r w:rsidRPr="007B5DCF">
              <w:rPr>
                <w:i/>
              </w:rPr>
              <w:t>What is the intent of this unit?</w:t>
            </w:r>
          </w:p>
        </w:tc>
      </w:tr>
      <w:tr w:rsidR="00AD0EC7" w14:paraId="5C8B9480" w14:textId="77777777" w:rsidTr="00BC584D">
        <w:trPr>
          <w:trHeight w:val="1256"/>
        </w:trPr>
        <w:tc>
          <w:tcPr>
            <w:tcW w:w="10485" w:type="dxa"/>
            <w:gridSpan w:val="10"/>
          </w:tcPr>
          <w:p w14:paraId="79ACFBBF" w14:textId="27518E2C" w:rsidR="00F4169E" w:rsidRDefault="00F27F12" w:rsidP="00AD0EC7">
            <w:r>
              <w:t xml:space="preserve">During this unit, students will be exploring the terms ‘health’ and ‘fitness’. By understanding what these terms actually mean, students will develop and further their understanding of positive lifestyle choices. </w:t>
            </w:r>
          </w:p>
          <w:p w14:paraId="7EC7F23E" w14:textId="57A52092" w:rsidR="00F27F12" w:rsidRDefault="00F27F12" w:rsidP="00AD0EC7"/>
          <w:p w14:paraId="74DF582E" w14:textId="421346B9" w:rsidR="00F27F12" w:rsidRDefault="00F27F12" w:rsidP="00AD0EC7">
            <w:r>
              <w:t xml:space="preserve">Students will also develop an understanding of diet and nutrition, exploring what different food groups do and how a person’s diet can be manipulated to improve specific sporting performances. </w:t>
            </w:r>
          </w:p>
          <w:p w14:paraId="788D04CA" w14:textId="54FDB490" w:rsidR="00BC34D3" w:rsidRDefault="00BC34D3" w:rsidP="00AD0EC7"/>
          <w:p w14:paraId="2404E9D5" w14:textId="611C0AA6" w:rsidR="00BC34D3" w:rsidRDefault="00BC34D3" w:rsidP="00AD0EC7">
            <w:r>
              <w:t xml:space="preserve">A knowledge of this content will help prepare students for questions on lifestyle choices, factors affecting performance and analysing a performers diet. </w:t>
            </w:r>
          </w:p>
          <w:p w14:paraId="0DB10EA5" w14:textId="57EEA7EC" w:rsidR="00F4169E" w:rsidRDefault="00F4169E" w:rsidP="00AD0EC7"/>
        </w:tc>
      </w:tr>
      <w:tr w:rsidR="00AD0EC7" w14:paraId="623D560E" w14:textId="77777777" w:rsidTr="00A46B26">
        <w:trPr>
          <w:trHeight w:val="441"/>
        </w:trPr>
        <w:tc>
          <w:tcPr>
            <w:tcW w:w="10485" w:type="dxa"/>
            <w:gridSpan w:val="10"/>
            <w:vAlign w:val="center"/>
          </w:tcPr>
          <w:p w14:paraId="71CCD40E" w14:textId="77777777" w:rsidR="00AD0EC7" w:rsidRDefault="00AD0EC7" w:rsidP="00AD0EC7">
            <w:pPr>
              <w:jc w:val="center"/>
              <w:rPr>
                <w:b/>
                <w:u w:val="single"/>
              </w:rPr>
            </w:pPr>
            <w:r w:rsidRPr="00A46B26">
              <w:rPr>
                <w:b/>
                <w:u w:val="single"/>
              </w:rPr>
              <w:t>Key Knowledge and Big Ideas:</w:t>
            </w:r>
          </w:p>
          <w:p w14:paraId="59F009F5" w14:textId="77777777" w:rsidR="00AD0EC7" w:rsidRDefault="00AD0EC7" w:rsidP="00AD0EC7">
            <w:pPr>
              <w:jc w:val="center"/>
              <w:rPr>
                <w:i/>
              </w:rPr>
            </w:pPr>
            <w:r>
              <w:rPr>
                <w:i/>
              </w:rPr>
              <w:t xml:space="preserve"> What </w:t>
            </w:r>
            <w:r w:rsidRPr="006D174A">
              <w:rPr>
                <w:b/>
                <w:bCs/>
                <w:i/>
              </w:rPr>
              <w:t>Powerful Knowledge</w:t>
            </w:r>
            <w:r>
              <w:rPr>
                <w:i/>
              </w:rPr>
              <w:t xml:space="preserve"> and </w:t>
            </w:r>
            <w:r w:rsidRPr="006D174A">
              <w:rPr>
                <w:b/>
                <w:bCs/>
                <w:i/>
              </w:rPr>
              <w:t>Big Ideas</w:t>
            </w:r>
            <w:r>
              <w:rPr>
                <w:i/>
              </w:rPr>
              <w:t xml:space="preserve"> are</w:t>
            </w:r>
            <w:r w:rsidRPr="00A46B26">
              <w:rPr>
                <w:i/>
              </w:rPr>
              <w:t xml:space="preserve"> </w:t>
            </w:r>
            <w:r>
              <w:rPr>
                <w:i/>
              </w:rPr>
              <w:t>e</w:t>
            </w:r>
            <w:r w:rsidRPr="00A46B26">
              <w:rPr>
                <w:i/>
              </w:rPr>
              <w:t>xplore</w:t>
            </w:r>
            <w:r>
              <w:rPr>
                <w:i/>
              </w:rPr>
              <w:t>d</w:t>
            </w:r>
            <w:r w:rsidRPr="00A46B26">
              <w:rPr>
                <w:i/>
              </w:rPr>
              <w:t xml:space="preserve"> in this Unit? </w:t>
            </w:r>
          </w:p>
          <w:p w14:paraId="68BAD2FE" w14:textId="7704BC34" w:rsidR="00AD0EC7" w:rsidRPr="00A46B26" w:rsidRDefault="00AD0EC7" w:rsidP="00AD0EC7">
            <w:pPr>
              <w:jc w:val="center"/>
              <w:rPr>
                <w:i/>
              </w:rPr>
            </w:pPr>
            <w:r w:rsidRPr="00A46B26">
              <w:rPr>
                <w:i/>
              </w:rPr>
              <w:t>How have these progressed from previous learning?</w:t>
            </w:r>
            <w:r>
              <w:rPr>
                <w:i/>
              </w:rPr>
              <w:t xml:space="preserve"> What </w:t>
            </w:r>
            <w:r w:rsidRPr="006D174A">
              <w:rPr>
                <w:b/>
                <w:bCs/>
                <w:i/>
              </w:rPr>
              <w:t>gaps in knowledge</w:t>
            </w:r>
            <w:r>
              <w:rPr>
                <w:i/>
              </w:rPr>
              <w:t xml:space="preserve"> have you identified from </w:t>
            </w:r>
            <w:r w:rsidRPr="006D174A">
              <w:rPr>
                <w:b/>
                <w:bCs/>
                <w:i/>
              </w:rPr>
              <w:t xml:space="preserve">baselining </w:t>
            </w:r>
            <w:r>
              <w:rPr>
                <w:i/>
              </w:rPr>
              <w:t>and how are the being closed?</w:t>
            </w:r>
          </w:p>
        </w:tc>
      </w:tr>
      <w:tr w:rsidR="00AD0EC7" w14:paraId="3C33E224" w14:textId="77777777" w:rsidTr="00166980">
        <w:trPr>
          <w:trHeight w:val="1256"/>
        </w:trPr>
        <w:tc>
          <w:tcPr>
            <w:tcW w:w="10485" w:type="dxa"/>
            <w:gridSpan w:val="10"/>
            <w:vAlign w:val="center"/>
          </w:tcPr>
          <w:p w14:paraId="661B339F" w14:textId="5334FA6E" w:rsidR="00AD0EC7" w:rsidRDefault="00AD0EC7" w:rsidP="00AD0EC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F3D2CFE" wp14:editId="5CFBB838">
                      <wp:simplePos x="0" y="0"/>
                      <wp:positionH relativeFrom="column">
                        <wp:posOffset>4075430</wp:posOffset>
                      </wp:positionH>
                      <wp:positionV relativeFrom="paragraph">
                        <wp:posOffset>55245</wp:posOffset>
                      </wp:positionV>
                      <wp:extent cx="2238375" cy="152400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043388" w14:textId="2040297D" w:rsidR="00AD0EC7" w:rsidRDefault="00AD0EC7" w:rsidP="00124565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95737">
                                    <w:rPr>
                                      <w:b/>
                                      <w:sz w:val="24"/>
                                    </w:rPr>
                                    <w:t>Big idea:</w:t>
                                  </w:r>
                                </w:p>
                                <w:p w14:paraId="58847142" w14:textId="1351282C" w:rsidR="00910754" w:rsidRDefault="00910754" w:rsidP="00124565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Sport and its impact on health, well-being and society.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3D2C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0.9pt;margin-top:4.35pt;width:176.25pt;height:12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">
                      <v:textbox>
                        <w:txbxContent>
                          <w:p w14:paraId="51043388" w14:textId="2040297D" w:rsidR="00AD0EC7" w:rsidRDefault="00AD0EC7" w:rsidP="0012456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95737">
                              <w:rPr>
                                <w:b/>
                                <w:sz w:val="24"/>
                              </w:rPr>
                              <w:t>Big idea:</w:t>
                            </w:r>
                          </w:p>
                          <w:p w14:paraId="58847142" w14:textId="1351282C" w:rsidR="00910754" w:rsidRDefault="00910754" w:rsidP="0012456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Sport and its impact on health, well-being and society.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C98411D" w14:textId="7D3E1EEA" w:rsidR="00AD0EC7" w:rsidRPr="00006EA9" w:rsidRDefault="00AD0EC7" w:rsidP="00AD0EC7">
            <w:pPr>
              <w:rPr>
                <w:b/>
                <w:sz w:val="24"/>
                <w:u w:val="single"/>
              </w:rPr>
            </w:pPr>
            <w:r w:rsidRPr="00006EA9">
              <w:rPr>
                <w:b/>
                <w:sz w:val="24"/>
                <w:u w:val="single"/>
              </w:rPr>
              <w:t>Key Knowledge and skills</w:t>
            </w:r>
          </w:p>
          <w:p w14:paraId="1AD6928B" w14:textId="4EE7F5A4" w:rsidR="00AD0EC7" w:rsidRDefault="00AD0EC7" w:rsidP="00AD0EC7"/>
          <w:p w14:paraId="4EAB7F08" w14:textId="53506CC9" w:rsidR="002F6DF1" w:rsidRDefault="002F6DF1" w:rsidP="00124565">
            <w:pPr>
              <w:pStyle w:val="ListParagraph"/>
              <w:numPr>
                <w:ilvl w:val="0"/>
                <w:numId w:val="5"/>
              </w:numPr>
            </w:pPr>
            <w:r>
              <w:t xml:space="preserve">Deeper thinking skills are </w:t>
            </w:r>
            <w:r w:rsidR="00F27F12">
              <w:t>encouraged</w:t>
            </w:r>
            <w:r>
              <w:t xml:space="preserve"> through the link to previously taught topics. </w:t>
            </w:r>
          </w:p>
          <w:p w14:paraId="4F6A48A4" w14:textId="1DC30031" w:rsidR="00910754" w:rsidRDefault="00910754" w:rsidP="00124565">
            <w:pPr>
              <w:pStyle w:val="ListParagraph"/>
              <w:numPr>
                <w:ilvl w:val="0"/>
                <w:numId w:val="5"/>
              </w:numPr>
            </w:pPr>
            <w:r>
              <w:t>Analysing the diet of performers to ensure that they are specific to their intended outcome.</w:t>
            </w:r>
          </w:p>
          <w:p w14:paraId="5CEB25BA" w14:textId="2E55DD17" w:rsidR="00910754" w:rsidRDefault="00910754" w:rsidP="00124565">
            <w:pPr>
              <w:pStyle w:val="ListParagraph"/>
              <w:numPr>
                <w:ilvl w:val="0"/>
                <w:numId w:val="5"/>
              </w:numPr>
            </w:pPr>
            <w:r>
              <w:t xml:space="preserve">Developing a knowledge of lifestyle choices and factors that make a person sedentary. </w:t>
            </w:r>
          </w:p>
          <w:p w14:paraId="2F0F8191" w14:textId="15F62D9A" w:rsidR="00910754" w:rsidRDefault="00910754" w:rsidP="00124565">
            <w:pPr>
              <w:pStyle w:val="ListParagraph"/>
              <w:numPr>
                <w:ilvl w:val="0"/>
                <w:numId w:val="5"/>
              </w:numPr>
            </w:pPr>
            <w:r>
              <w:t xml:space="preserve">Students will begin analysing data in this unit and developing their interpreting skills by looking at graphs. </w:t>
            </w:r>
          </w:p>
          <w:p w14:paraId="063F0F20" w14:textId="090FC5A1" w:rsidR="00AD0EC7" w:rsidRDefault="00AD0EC7" w:rsidP="00AD0EC7"/>
        </w:tc>
      </w:tr>
      <w:tr w:rsidR="00AD0EC7" w14:paraId="69923A53" w14:textId="77777777" w:rsidTr="007B5DCF">
        <w:tc>
          <w:tcPr>
            <w:tcW w:w="10485" w:type="dxa"/>
            <w:gridSpan w:val="10"/>
            <w:vAlign w:val="center"/>
          </w:tcPr>
          <w:p w14:paraId="2D775CAA" w14:textId="77777777" w:rsidR="00AD0EC7" w:rsidRPr="00166980" w:rsidRDefault="00AD0EC7" w:rsidP="00AD0EC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Unit Assessment</w:t>
            </w:r>
            <w:r w:rsidRPr="00166980">
              <w:rPr>
                <w:b/>
                <w:u w:val="single"/>
              </w:rPr>
              <w:t>:</w:t>
            </w:r>
          </w:p>
          <w:p w14:paraId="572ABA93" w14:textId="77777777" w:rsidR="00AD0EC7" w:rsidRDefault="00AD0EC7" w:rsidP="00AD0EC7">
            <w:pPr>
              <w:jc w:val="center"/>
              <w:rPr>
                <w:i/>
              </w:rPr>
            </w:pPr>
            <w:r>
              <w:rPr>
                <w:i/>
              </w:rPr>
              <w:t>How will this unit be assessed</w:t>
            </w:r>
            <w:r w:rsidRPr="007B5DCF">
              <w:rPr>
                <w:i/>
              </w:rPr>
              <w:t>?</w:t>
            </w:r>
            <w:r>
              <w:rPr>
                <w:i/>
              </w:rPr>
              <w:t xml:space="preserve"> </w:t>
            </w:r>
          </w:p>
          <w:p w14:paraId="1D448AEC" w14:textId="77777777" w:rsidR="00AD0EC7" w:rsidRDefault="00AD0EC7" w:rsidP="00AD0EC7">
            <w:pPr>
              <w:jc w:val="center"/>
            </w:pPr>
            <w:r>
              <w:rPr>
                <w:i/>
              </w:rPr>
              <w:t>What is the frequency of assessments – baselines etc?</w:t>
            </w:r>
          </w:p>
        </w:tc>
      </w:tr>
      <w:tr w:rsidR="00AD0EC7" w14:paraId="1071D02F" w14:textId="77777777" w:rsidTr="008F6CD1">
        <w:tc>
          <w:tcPr>
            <w:tcW w:w="10485" w:type="dxa"/>
            <w:gridSpan w:val="10"/>
            <w:vAlign w:val="center"/>
          </w:tcPr>
          <w:p w14:paraId="2B335CBE" w14:textId="7E7F185A" w:rsidR="00AD0EC7" w:rsidRDefault="00124565" w:rsidP="00AD0EC7">
            <w:r>
              <w:t>Weekly, the students will be competing low stakes quizzes to challenge the AO1 criteria (knowledge and understanding) of this unit. These quizzes wi</w:t>
            </w:r>
            <w:r w:rsidR="00BC73CE">
              <w:t>l</w:t>
            </w:r>
            <w:r>
              <w:t xml:space="preserve">l address any misconceptions around the systems and inform future planning. </w:t>
            </w:r>
          </w:p>
          <w:p w14:paraId="118884E8" w14:textId="6CD62D1A" w:rsidR="00124565" w:rsidRDefault="00124565" w:rsidP="00AD0EC7"/>
          <w:p w14:paraId="6F8D3AC0" w14:textId="75E6A368" w:rsidR="00BC73CE" w:rsidRDefault="00BC73CE" w:rsidP="00AD0EC7">
            <w:r>
              <w:t xml:space="preserve">During lessons, students will be challenged through questioning and paired discussions. This form of assessment can encourage students to stretch their responses and add more to their answers. </w:t>
            </w:r>
          </w:p>
          <w:p w14:paraId="0072CDCF" w14:textId="4F4E22B0" w:rsidR="00BC73CE" w:rsidRDefault="00BC73CE" w:rsidP="00AD0EC7"/>
          <w:p w14:paraId="3C8D3688" w14:textId="6678AC7E" w:rsidR="00124565" w:rsidRDefault="00BC73CE" w:rsidP="00BC73CE">
            <w:r>
              <w:t xml:space="preserve">At the end of each unit, students will be completing an exam question style assessment. These questions will include; multiple choice, analysis and longer answer questions aimed at really exploring the students deeper thinking. </w:t>
            </w:r>
          </w:p>
        </w:tc>
      </w:tr>
      <w:tr w:rsidR="00AD0EC7" w14:paraId="6909388E" w14:textId="77777777" w:rsidTr="00A46B26">
        <w:tc>
          <w:tcPr>
            <w:tcW w:w="3492" w:type="dxa"/>
            <w:gridSpan w:val="3"/>
            <w:vAlign w:val="center"/>
          </w:tcPr>
          <w:p w14:paraId="794C4734" w14:textId="77777777" w:rsidR="00AD0EC7" w:rsidRPr="00A46B26" w:rsidRDefault="00AD0EC7" w:rsidP="00AD0EC7">
            <w:pPr>
              <w:jc w:val="center"/>
              <w:rPr>
                <w:b/>
                <w:u w:val="single"/>
              </w:rPr>
            </w:pPr>
            <w:r w:rsidRPr="00A46B26">
              <w:rPr>
                <w:b/>
                <w:u w:val="single"/>
              </w:rPr>
              <w:t>Key Skills Explored</w:t>
            </w:r>
          </w:p>
        </w:tc>
        <w:tc>
          <w:tcPr>
            <w:tcW w:w="3495" w:type="dxa"/>
            <w:gridSpan w:val="4"/>
            <w:vAlign w:val="center"/>
          </w:tcPr>
          <w:p w14:paraId="7E549591" w14:textId="77777777" w:rsidR="00AD0EC7" w:rsidRPr="00A46B26" w:rsidRDefault="00AD0EC7" w:rsidP="00AD0EC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Vocabulary Selected for DVI</w:t>
            </w:r>
          </w:p>
        </w:tc>
        <w:tc>
          <w:tcPr>
            <w:tcW w:w="3498" w:type="dxa"/>
            <w:gridSpan w:val="3"/>
            <w:vAlign w:val="center"/>
          </w:tcPr>
          <w:p w14:paraId="0DFAC94D" w14:textId="77777777" w:rsidR="00AD0EC7" w:rsidRPr="00A46B26" w:rsidRDefault="00AD0EC7" w:rsidP="00AD0EC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Links to Previous Unit</w:t>
            </w:r>
          </w:p>
        </w:tc>
      </w:tr>
      <w:tr w:rsidR="00AD0EC7" w14:paraId="3EDECF23" w14:textId="77777777" w:rsidTr="00A46B26">
        <w:tc>
          <w:tcPr>
            <w:tcW w:w="3492" w:type="dxa"/>
            <w:gridSpan w:val="3"/>
            <w:vAlign w:val="center"/>
          </w:tcPr>
          <w:p w14:paraId="7DBF580D" w14:textId="3FEED3B6" w:rsidR="009E7ACA" w:rsidRDefault="00E85456" w:rsidP="00BC73CE">
            <w:r>
              <w:t xml:space="preserve">  </w:t>
            </w:r>
            <w:r w:rsidR="00BC73CE">
              <w:t>Students will be assessed on the following skills;</w:t>
            </w:r>
          </w:p>
          <w:p w14:paraId="607D79FE" w14:textId="2B21CE9A" w:rsidR="00BC73CE" w:rsidRPr="00910754" w:rsidRDefault="00910754" w:rsidP="00910754">
            <w:pPr>
              <w:pStyle w:val="ListParagraph"/>
              <w:numPr>
                <w:ilvl w:val="0"/>
                <w:numId w:val="6"/>
              </w:numPr>
            </w:pPr>
            <w:r>
              <w:t>Analysing</w:t>
            </w:r>
            <w:r w:rsidRPr="00910754">
              <w:t xml:space="preserve"> data in graphs.</w:t>
            </w:r>
          </w:p>
          <w:p w14:paraId="6DC3ECDE" w14:textId="77777777" w:rsidR="00910754" w:rsidRDefault="00910754" w:rsidP="00910754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r w:rsidRPr="00910754">
              <w:t>Providing justification and judgments based off</w:t>
            </w:r>
            <w:r>
              <w:t xml:space="preserve"> of</w:t>
            </w:r>
            <w:r w:rsidRPr="00910754">
              <w:t xml:space="preserve"> d</w:t>
            </w:r>
            <w:r>
              <w:t>ata</w:t>
            </w:r>
            <w:r w:rsidRPr="00910754">
              <w:t>.</w:t>
            </w:r>
            <w:r>
              <w:rPr>
                <w:b/>
                <w:u w:val="single"/>
              </w:rPr>
              <w:t xml:space="preserve"> </w:t>
            </w:r>
          </w:p>
          <w:p w14:paraId="4510DDAB" w14:textId="77777777" w:rsidR="00910754" w:rsidRPr="000F09EA" w:rsidRDefault="000F09EA" w:rsidP="00910754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r>
              <w:lastRenderedPageBreak/>
              <w:t>Explaining the impact of specific food groups on performance.</w:t>
            </w:r>
          </w:p>
          <w:p w14:paraId="43A4B3CE" w14:textId="2DFFAB19" w:rsidR="000F09EA" w:rsidRPr="000F09EA" w:rsidRDefault="000F09EA" w:rsidP="00910754">
            <w:pPr>
              <w:pStyle w:val="ListParagraph"/>
              <w:numPr>
                <w:ilvl w:val="0"/>
                <w:numId w:val="6"/>
              </w:numPr>
            </w:pPr>
            <w:r w:rsidRPr="000F09EA">
              <w:t xml:space="preserve">Using sporting examples to help justify responses. </w:t>
            </w:r>
          </w:p>
        </w:tc>
        <w:tc>
          <w:tcPr>
            <w:tcW w:w="3495" w:type="dxa"/>
            <w:gridSpan w:val="4"/>
            <w:vAlign w:val="center"/>
          </w:tcPr>
          <w:p w14:paraId="22A65479" w14:textId="77777777" w:rsidR="004751F3" w:rsidRDefault="000F09EA" w:rsidP="000F09EA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Macronutrients</w:t>
            </w:r>
          </w:p>
          <w:p w14:paraId="73A28991" w14:textId="3D846FB2" w:rsidR="000F09EA" w:rsidRDefault="000F09EA" w:rsidP="000F09EA">
            <w:pPr>
              <w:pStyle w:val="ListParagraph"/>
              <w:numPr>
                <w:ilvl w:val="0"/>
                <w:numId w:val="1"/>
              </w:numPr>
            </w:pPr>
            <w:r>
              <w:t>Micronutrients</w:t>
            </w:r>
          </w:p>
          <w:p w14:paraId="3B11C81D" w14:textId="77777777" w:rsidR="000F09EA" w:rsidRDefault="000F09EA" w:rsidP="000F09EA">
            <w:pPr>
              <w:pStyle w:val="ListParagraph"/>
              <w:numPr>
                <w:ilvl w:val="0"/>
                <w:numId w:val="1"/>
              </w:numPr>
            </w:pPr>
            <w:r>
              <w:t>Calorie</w:t>
            </w:r>
          </w:p>
          <w:p w14:paraId="39F0FAB7" w14:textId="77777777" w:rsidR="000F09EA" w:rsidRDefault="000F09EA" w:rsidP="000F09EA">
            <w:pPr>
              <w:pStyle w:val="ListParagraph"/>
              <w:numPr>
                <w:ilvl w:val="0"/>
                <w:numId w:val="1"/>
              </w:numPr>
            </w:pPr>
            <w:r>
              <w:t>Sedentary</w:t>
            </w:r>
          </w:p>
          <w:p w14:paraId="7D7ADD38" w14:textId="77777777" w:rsidR="000F09EA" w:rsidRDefault="000F09EA" w:rsidP="000F09EA">
            <w:pPr>
              <w:pStyle w:val="ListParagraph"/>
              <w:numPr>
                <w:ilvl w:val="0"/>
                <w:numId w:val="1"/>
              </w:numPr>
            </w:pPr>
            <w:r>
              <w:t>Optimum</w:t>
            </w:r>
          </w:p>
          <w:p w14:paraId="2092CD17" w14:textId="2DA53A55" w:rsidR="000F09EA" w:rsidRPr="006201AB" w:rsidRDefault="000F09EA" w:rsidP="000F09EA">
            <w:pPr>
              <w:pStyle w:val="ListParagraph"/>
              <w:numPr>
                <w:ilvl w:val="0"/>
                <w:numId w:val="1"/>
              </w:numPr>
            </w:pPr>
            <w:r>
              <w:t>Hydration</w:t>
            </w:r>
          </w:p>
        </w:tc>
        <w:tc>
          <w:tcPr>
            <w:tcW w:w="3498" w:type="dxa"/>
            <w:gridSpan w:val="3"/>
            <w:vAlign w:val="center"/>
          </w:tcPr>
          <w:p w14:paraId="647564B5" w14:textId="7002368C" w:rsidR="00E85456" w:rsidRDefault="000F09EA" w:rsidP="00AD0EC7">
            <w:pPr>
              <w:jc w:val="center"/>
            </w:pPr>
            <w:r>
              <w:t>Students have previously studied energy systems. A knowledge of this is develop</w:t>
            </w:r>
            <w:r w:rsidR="006975A1">
              <w:t>ed upon</w:t>
            </w:r>
            <w:r>
              <w:t xml:space="preserve"> when talking about which food groups provide us with energy. </w:t>
            </w:r>
            <w:r w:rsidR="006975A1">
              <w:t xml:space="preserve">Students are encouraged to utilise their knowledge of the key body systems from year 10 when exploring </w:t>
            </w:r>
            <w:r w:rsidR="006975A1">
              <w:lastRenderedPageBreak/>
              <w:t xml:space="preserve">lifestyle choices and sedentary lifestyles. </w:t>
            </w:r>
          </w:p>
          <w:p w14:paraId="11C36DAF" w14:textId="1153829B" w:rsidR="00E85456" w:rsidRDefault="00E85456" w:rsidP="00AD0EC7">
            <w:pPr>
              <w:jc w:val="center"/>
            </w:pPr>
          </w:p>
          <w:p w14:paraId="4BC63858" w14:textId="0E6C5F1D" w:rsidR="00E85456" w:rsidRDefault="00E85456" w:rsidP="00AD0EC7">
            <w:pPr>
              <w:jc w:val="center"/>
            </w:pPr>
          </w:p>
          <w:p w14:paraId="6E899886" w14:textId="77777777" w:rsidR="00E85456" w:rsidRDefault="00E85456" w:rsidP="00AD0EC7">
            <w:pPr>
              <w:jc w:val="center"/>
            </w:pPr>
          </w:p>
          <w:p w14:paraId="3AD2AA5F" w14:textId="28C433C0" w:rsidR="009E7ACA" w:rsidRPr="001B3B8F" w:rsidRDefault="009E7ACA" w:rsidP="00AD0EC7">
            <w:pPr>
              <w:jc w:val="center"/>
            </w:pPr>
          </w:p>
        </w:tc>
      </w:tr>
      <w:tr w:rsidR="00AD0EC7" w14:paraId="1E113C6C" w14:textId="77777777" w:rsidTr="00A46B26">
        <w:tc>
          <w:tcPr>
            <w:tcW w:w="3492" w:type="dxa"/>
            <w:gridSpan w:val="3"/>
            <w:vAlign w:val="center"/>
          </w:tcPr>
          <w:p w14:paraId="04BD3647" w14:textId="77777777" w:rsidR="00AD0EC7" w:rsidRDefault="00AD0EC7" w:rsidP="00AD0EC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Links to Careers/Employability</w:t>
            </w:r>
          </w:p>
        </w:tc>
        <w:tc>
          <w:tcPr>
            <w:tcW w:w="6993" w:type="dxa"/>
            <w:gridSpan w:val="7"/>
            <w:vAlign w:val="center"/>
          </w:tcPr>
          <w:p w14:paraId="69D7FCFC" w14:textId="77777777" w:rsidR="00AD0EC7" w:rsidRPr="00A46B26" w:rsidRDefault="00AD0EC7" w:rsidP="00AD0EC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does this unit prepare students for the next unit?</w:t>
            </w:r>
          </w:p>
        </w:tc>
      </w:tr>
      <w:tr w:rsidR="00AD0EC7" w14:paraId="7DA832C4" w14:textId="77777777" w:rsidTr="00A46B26">
        <w:trPr>
          <w:trHeight w:val="1153"/>
        </w:trPr>
        <w:tc>
          <w:tcPr>
            <w:tcW w:w="3492" w:type="dxa"/>
            <w:gridSpan w:val="3"/>
            <w:vAlign w:val="center"/>
          </w:tcPr>
          <w:p w14:paraId="1647ABCA" w14:textId="77777777" w:rsidR="00AD0EC7" w:rsidRDefault="00AD0EC7" w:rsidP="00AD0EC7">
            <w:pPr>
              <w:jc w:val="center"/>
              <w:rPr>
                <w:b/>
                <w:u w:val="single"/>
              </w:rPr>
            </w:pPr>
          </w:p>
          <w:p w14:paraId="5B28F609" w14:textId="3C5D784E" w:rsidR="00AD0EC7" w:rsidRPr="00680783" w:rsidRDefault="00680783" w:rsidP="00680783">
            <w:r w:rsidRPr="00680783">
              <w:t>These units can provide key knowledge and understanding for undertaking any science</w:t>
            </w:r>
            <w:r>
              <w:t>-</w:t>
            </w:r>
            <w:r w:rsidRPr="00680783">
              <w:t xml:space="preserve"> based study </w:t>
            </w:r>
            <w:r>
              <w:t>at college or university. Potential future careers could include; physiotherapy, medicine, personal trainer</w:t>
            </w:r>
            <w:r w:rsidR="006975A1">
              <w:t>, nutritionist</w:t>
            </w:r>
            <w:r>
              <w:t>.</w:t>
            </w:r>
          </w:p>
          <w:p w14:paraId="4D739D3F" w14:textId="77777777" w:rsidR="00AD0EC7" w:rsidRDefault="00AD0EC7" w:rsidP="00AD0EC7">
            <w:pPr>
              <w:jc w:val="center"/>
              <w:rPr>
                <w:b/>
                <w:u w:val="single"/>
              </w:rPr>
            </w:pPr>
          </w:p>
          <w:p w14:paraId="67645BE4" w14:textId="77777777" w:rsidR="00AD0EC7" w:rsidRDefault="00AD0EC7" w:rsidP="00AD0EC7">
            <w:pPr>
              <w:rPr>
                <w:b/>
                <w:u w:val="single"/>
              </w:rPr>
            </w:pPr>
          </w:p>
          <w:p w14:paraId="232BB1FF" w14:textId="77777777" w:rsidR="00AD0EC7" w:rsidRPr="00A46B26" w:rsidRDefault="00AD0EC7" w:rsidP="00AD0EC7">
            <w:pPr>
              <w:rPr>
                <w:b/>
                <w:u w:val="single"/>
              </w:rPr>
            </w:pPr>
          </w:p>
        </w:tc>
        <w:tc>
          <w:tcPr>
            <w:tcW w:w="6993" w:type="dxa"/>
            <w:gridSpan w:val="7"/>
            <w:vAlign w:val="center"/>
          </w:tcPr>
          <w:p w14:paraId="5E585455" w14:textId="57DCAE08" w:rsidR="00680783" w:rsidRPr="00895737" w:rsidRDefault="00680783" w:rsidP="00680783">
            <w:r>
              <w:t>The students will continue to link these units to future study around</w:t>
            </w:r>
            <w:r w:rsidR="004751F3">
              <w:t xml:space="preserve"> physical training and the effects of exercise</w:t>
            </w:r>
            <w:r w:rsidR="006975A1">
              <w:t xml:space="preserve"> on the body. Students will also be building a bas of knowledge here that will support them with studying sources of energy in future topics. </w:t>
            </w:r>
            <w:bookmarkStart w:id="0" w:name="_GoBack"/>
            <w:bookmarkEnd w:id="0"/>
          </w:p>
        </w:tc>
      </w:tr>
    </w:tbl>
    <w:p w14:paraId="38B08D01" w14:textId="77777777" w:rsidR="002F34DF" w:rsidRPr="00AD595B" w:rsidRDefault="002F34DF">
      <w:pPr>
        <w:rPr>
          <w:sz w:val="12"/>
        </w:rPr>
      </w:pPr>
    </w:p>
    <w:sectPr w:rsidR="002F34DF" w:rsidRPr="00AD595B" w:rsidSect="00166980">
      <w:pgSz w:w="11906" w:h="16838"/>
      <w:pgMar w:top="851" w:right="2125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0323"/>
    <w:multiLevelType w:val="hybridMultilevel"/>
    <w:tmpl w:val="F0C2F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532DE"/>
    <w:multiLevelType w:val="hybridMultilevel"/>
    <w:tmpl w:val="6C84A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E1AB8"/>
    <w:multiLevelType w:val="hybridMultilevel"/>
    <w:tmpl w:val="5B0A1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6712C"/>
    <w:multiLevelType w:val="hybridMultilevel"/>
    <w:tmpl w:val="CC7E8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E0BDC"/>
    <w:multiLevelType w:val="hybridMultilevel"/>
    <w:tmpl w:val="D2A20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631F3"/>
    <w:multiLevelType w:val="hybridMultilevel"/>
    <w:tmpl w:val="E3DC00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2F7AD1"/>
    <w:multiLevelType w:val="hybridMultilevel"/>
    <w:tmpl w:val="CD70E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80"/>
    <w:rsid w:val="00006EA9"/>
    <w:rsid w:val="000A607C"/>
    <w:rsid w:val="000F09EA"/>
    <w:rsid w:val="00124565"/>
    <w:rsid w:val="00166980"/>
    <w:rsid w:val="001B3B8F"/>
    <w:rsid w:val="002F34DF"/>
    <w:rsid w:val="002F6DF1"/>
    <w:rsid w:val="004751F3"/>
    <w:rsid w:val="00501DFE"/>
    <w:rsid w:val="006201AB"/>
    <w:rsid w:val="00680783"/>
    <w:rsid w:val="006975A1"/>
    <w:rsid w:val="006D174A"/>
    <w:rsid w:val="007119DE"/>
    <w:rsid w:val="0076345C"/>
    <w:rsid w:val="007B3418"/>
    <w:rsid w:val="007B5DCF"/>
    <w:rsid w:val="00895737"/>
    <w:rsid w:val="00910754"/>
    <w:rsid w:val="009E7ACA"/>
    <w:rsid w:val="00A46B26"/>
    <w:rsid w:val="00AD0EC7"/>
    <w:rsid w:val="00AD595B"/>
    <w:rsid w:val="00B74CE8"/>
    <w:rsid w:val="00BC34D3"/>
    <w:rsid w:val="00BC73CE"/>
    <w:rsid w:val="00BF5080"/>
    <w:rsid w:val="00C929DB"/>
    <w:rsid w:val="00D65FF0"/>
    <w:rsid w:val="00DF657C"/>
    <w:rsid w:val="00E85456"/>
    <w:rsid w:val="00F27F12"/>
    <w:rsid w:val="00F4169E"/>
    <w:rsid w:val="00F8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2112A"/>
  <w15:chartTrackingRefBased/>
  <w15:docId w15:val="{183927CC-A481-442D-838D-D3CD5100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119DE"/>
  </w:style>
  <w:style w:type="paragraph" w:styleId="ListParagraph">
    <w:name w:val="List Paragraph"/>
    <w:basedOn w:val="Normal"/>
    <w:uiPriority w:val="34"/>
    <w:qFormat/>
    <w:rsid w:val="00006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A3C0C86B6F74BBA11D242FD2AEF83" ma:contentTypeVersion="10" ma:contentTypeDescription="Create a new document." ma:contentTypeScope="" ma:versionID="91e4fa096de1d6473be316e3d718a4c5">
  <xsd:schema xmlns:xsd="http://www.w3.org/2001/XMLSchema" xmlns:xs="http://www.w3.org/2001/XMLSchema" xmlns:p="http://schemas.microsoft.com/office/2006/metadata/properties" xmlns:ns2="68c5841a-5909-4d2f-a544-c309ae69ac52" xmlns:ns3="87479283-8fd9-4aff-b19f-38b2bc709453" targetNamespace="http://schemas.microsoft.com/office/2006/metadata/properties" ma:root="true" ma:fieldsID="37719f635a55a21c6c74f55fc2c350a0" ns2:_="" ns3:_="">
    <xsd:import namespace="68c5841a-5909-4d2f-a544-c309ae69ac52"/>
    <xsd:import namespace="87479283-8fd9-4aff-b19f-38b2bc709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5841a-5909-4d2f-a544-c309ae69a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79283-8fd9-4aff-b19f-38b2bc709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479283-8fd9-4aff-b19f-38b2bc709453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864756-38F8-4D01-B2B0-135E0AE3B45E}"/>
</file>

<file path=customXml/itemProps2.xml><?xml version="1.0" encoding="utf-8"?>
<ds:datastoreItem xmlns:ds="http://schemas.openxmlformats.org/officeDocument/2006/customXml" ds:itemID="{95699B39-A758-4BF6-BE16-54357DC65431}">
  <ds:schemaRefs>
    <ds:schemaRef ds:uri="http://schemas.openxmlformats.org/package/2006/metadata/core-properties"/>
    <ds:schemaRef ds:uri="http://www.w3.org/XML/1998/namespace"/>
    <ds:schemaRef ds:uri="http://purl.org/dc/dcmitype/"/>
    <ds:schemaRef ds:uri="c0487305-f5ca-4bbe-9c26-5597e05b11a2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02745e70-b57c-4178-b10a-048b8851f347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283C3C1-D4E0-4F10-AF1F-105587E5C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Khan (St Marks)</dc:creator>
  <cp:keywords/>
  <dc:description/>
  <cp:lastModifiedBy>Ashley Rutledge (St Marks)</cp:lastModifiedBy>
  <cp:revision>3</cp:revision>
  <cp:lastPrinted>2022-02-23T15:20:00Z</cp:lastPrinted>
  <dcterms:created xsi:type="dcterms:W3CDTF">2022-06-24T09:28:00Z</dcterms:created>
  <dcterms:modified xsi:type="dcterms:W3CDTF">2022-06-24T10:37:00Z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0x01010060FA3C0C86B6F74BBA11D242FD2AEF83</vt:lpwstr>
  </property>
  <property fmtid="{D5CDD505-2E9C-101B-9397-08002B2CF9AE}" pid="3" name="Order">
    <vt:r8>106600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